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1E9E6A2F"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B13A3D">
        <w:rPr>
          <w:rFonts w:ascii="Times New Roman" w:hAnsi="Times New Roman" w:cs="Times New Roman"/>
          <w:b/>
          <w:bCs/>
          <w:sz w:val="24"/>
          <w:szCs w:val="24"/>
        </w:rPr>
        <w:t>May 19</w:t>
      </w:r>
      <w:r w:rsidR="00B13A3D" w:rsidRPr="00B13A3D">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2023</w:t>
      </w:r>
      <w:proofErr w:type="gramEnd"/>
      <w:r>
        <w:rPr>
          <w:rFonts w:ascii="Times New Roman" w:hAnsi="Times New Roman" w:cs="Times New Roman"/>
          <w:sz w:val="24"/>
          <w:szCs w:val="24"/>
        </w:rPr>
        <w:t xml:space="preserve"> </w:t>
      </w:r>
    </w:p>
    <w:p w14:paraId="544BEB58" w14:textId="6CF23F8C" w:rsidR="00FB07CD" w:rsidRPr="003E38F0" w:rsidRDefault="00B13A3D" w:rsidP="005352EF">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May 19</w:t>
      </w:r>
      <w:r w:rsidRPr="00B13A3D">
        <w:rPr>
          <w:rFonts w:ascii="Times New Roman" w:hAnsi="Times New Roman" w:cs="Times New Roman"/>
          <w:sz w:val="24"/>
          <w:szCs w:val="24"/>
          <w:vertAlign w:val="superscript"/>
        </w:rPr>
        <w:t>th</w:t>
      </w:r>
      <w:r>
        <w:rPr>
          <w:rFonts w:ascii="Times New Roman" w:hAnsi="Times New Roman" w:cs="Times New Roman"/>
          <w:sz w:val="24"/>
          <w:szCs w:val="24"/>
        </w:rPr>
        <w:t xml:space="preserve">, 2023, the Husson Stock Index (HSI) ended the week at </w:t>
      </w:r>
      <w:r w:rsidR="0000789A">
        <w:rPr>
          <w:rFonts w:ascii="Times New Roman" w:hAnsi="Times New Roman" w:cs="Times New Roman"/>
          <w:sz w:val="24"/>
          <w:szCs w:val="24"/>
        </w:rPr>
        <w:t>203.96</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0.94% increase </w:t>
      </w:r>
      <w:r w:rsidR="00604968">
        <w:rPr>
          <w:rFonts w:ascii="Times New Roman" w:hAnsi="Times New Roman" w:cs="Times New Roman"/>
          <w:sz w:val="24"/>
          <w:szCs w:val="24"/>
        </w:rPr>
        <w:t>from the week ending May 12</w:t>
      </w:r>
      <w:r w:rsidR="00604968" w:rsidRPr="00604968">
        <w:rPr>
          <w:rFonts w:ascii="Times New Roman" w:hAnsi="Times New Roman" w:cs="Times New Roman"/>
          <w:sz w:val="24"/>
          <w:szCs w:val="24"/>
          <w:vertAlign w:val="superscript"/>
        </w:rPr>
        <w:t>th</w:t>
      </w:r>
      <w:r w:rsidR="00604968">
        <w:rPr>
          <w:rFonts w:ascii="Times New Roman" w:hAnsi="Times New Roman" w:cs="Times New Roman"/>
          <w:sz w:val="24"/>
          <w:szCs w:val="24"/>
        </w:rPr>
        <w:t xml:space="preserve">. So far this year the index </w:t>
      </w:r>
      <w:r w:rsidR="0000789A">
        <w:rPr>
          <w:rFonts w:ascii="Times New Roman" w:hAnsi="Times New Roman" w:cs="Times New Roman" w:hint="eastAsia"/>
          <w:sz w:val="24"/>
          <w:szCs w:val="24"/>
          <w:lang w:eastAsia="zh-CN"/>
        </w:rPr>
        <w:t>h</w:t>
      </w:r>
      <w:r w:rsidR="0000789A">
        <w:rPr>
          <w:rFonts w:ascii="Times New Roman" w:hAnsi="Times New Roman" w:cs="Times New Roman"/>
          <w:sz w:val="24"/>
          <w:szCs w:val="24"/>
          <w:lang w:eastAsia="zh-CN"/>
        </w:rPr>
        <w:t xml:space="preserve">as been increased by </w:t>
      </w:r>
      <w:r w:rsidR="00AE3A17">
        <w:rPr>
          <w:rFonts w:ascii="Times New Roman" w:hAnsi="Times New Roman" w:cs="Times New Roman"/>
          <w:sz w:val="24"/>
          <w:szCs w:val="24"/>
        </w:rPr>
        <w:t>1.41%</w:t>
      </w:r>
      <w:r w:rsidR="009A0F3D">
        <w:rPr>
          <w:rFonts w:ascii="Times New Roman" w:hAnsi="Times New Roman" w:cs="Times New Roman"/>
          <w:sz w:val="24"/>
          <w:szCs w:val="24"/>
        </w:rPr>
        <w:t>.</w:t>
      </w:r>
      <w:r w:rsidR="0000789A">
        <w:rPr>
          <w:rFonts w:ascii="Times New Roman" w:hAnsi="Times New Roman" w:cs="Times New Roman"/>
          <w:sz w:val="24"/>
          <w:szCs w:val="24"/>
        </w:rPr>
        <w:t xml:space="preserve"> In</w:t>
      </w:r>
      <w:r w:rsidR="002D01C1">
        <w:rPr>
          <w:rFonts w:ascii="Times New Roman" w:hAnsi="Times New Roman" w:cs="Times New Roman"/>
          <w:sz w:val="24"/>
          <w:szCs w:val="24"/>
        </w:rPr>
        <w:t xml:space="preserve"> comparison</w:t>
      </w:r>
      <w:r w:rsidR="0000789A">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is up 1.</w:t>
      </w:r>
      <w:r w:rsidR="0000789A">
        <w:rPr>
          <w:rFonts w:ascii="Times New Roman" w:hAnsi="Times New Roman" w:cs="Times New Roman"/>
          <w:sz w:val="24"/>
          <w:szCs w:val="24"/>
        </w:rPr>
        <w:t>79%</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9.34% </w:t>
      </w:r>
      <w:r w:rsidR="0000789A">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up </w:t>
      </w:r>
      <w:r w:rsidR="006905CD">
        <w:rPr>
          <w:rFonts w:ascii="Times New Roman" w:hAnsi="Times New Roman" w:cs="Times New Roman"/>
          <w:sz w:val="24"/>
          <w:szCs w:val="24"/>
        </w:rPr>
        <w:t xml:space="preserve">0.36% this week and only 0.83% for the year.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71DDD9D7" w:rsidR="00900465" w:rsidRDefault="004239BE" w:rsidP="00152C85">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For the week ending May19</w:t>
      </w:r>
      <w:r w:rsidR="00C463A4" w:rsidRPr="005968DD">
        <w:rPr>
          <w:rFonts w:ascii="Times New Roman" w:hAnsi="Times New Roman" w:cs="Times New Roman"/>
          <w:sz w:val="24"/>
          <w:szCs w:val="24"/>
          <w:vertAlign w:val="superscript"/>
        </w:rPr>
        <w:t>th</w:t>
      </w:r>
      <w:r w:rsidR="00C463A4">
        <w:rPr>
          <w:rFonts w:ascii="Times New Roman" w:hAnsi="Times New Roman" w:cs="Times New Roman"/>
          <w:sz w:val="24"/>
          <w:szCs w:val="24"/>
        </w:rPr>
        <w:t xml:space="preserve">, 2023, the </w:t>
      </w:r>
      <w:r w:rsidR="005968DD">
        <w:rPr>
          <w:rFonts w:ascii="Times New Roman" w:hAnsi="Times New Roman" w:cs="Times New Roman"/>
          <w:sz w:val="24"/>
          <w:szCs w:val="24"/>
        </w:rPr>
        <w:t xml:space="preserve">stock with the largest percentage increase </w:t>
      </w:r>
      <w:r w:rsidR="0000789A">
        <w:rPr>
          <w:rFonts w:ascii="Times New Roman" w:hAnsi="Times New Roman" w:cs="Times New Roman"/>
          <w:sz w:val="24"/>
          <w:szCs w:val="24"/>
        </w:rPr>
        <w:t xml:space="preserve">in price per share </w:t>
      </w:r>
      <w:r w:rsidR="005968DD">
        <w:rPr>
          <w:rFonts w:ascii="Times New Roman" w:hAnsi="Times New Roman" w:cs="Times New Roman"/>
          <w:sz w:val="24"/>
          <w:szCs w:val="24"/>
        </w:rPr>
        <w:t xml:space="preserve">was </w:t>
      </w:r>
      <w:r w:rsidR="007703B3">
        <w:rPr>
          <w:rFonts w:ascii="Times New Roman" w:hAnsi="Times New Roman" w:cs="Times New Roman"/>
          <w:sz w:val="24"/>
          <w:szCs w:val="24"/>
        </w:rPr>
        <w:t xml:space="preserve">Darden </w:t>
      </w:r>
      <w:r w:rsidR="00124047">
        <w:rPr>
          <w:rFonts w:ascii="Times New Roman" w:hAnsi="Times New Roman" w:cs="Times New Roman"/>
          <w:sz w:val="24"/>
          <w:szCs w:val="24"/>
        </w:rPr>
        <w:t>Restaurants</w:t>
      </w:r>
      <w:r w:rsidR="007703B3">
        <w:rPr>
          <w:rFonts w:ascii="Times New Roman" w:hAnsi="Times New Roman" w:cs="Times New Roman"/>
          <w:sz w:val="24"/>
          <w:szCs w:val="24"/>
        </w:rPr>
        <w:t xml:space="preserve"> </w:t>
      </w:r>
      <w:r w:rsidR="00CD2719">
        <w:rPr>
          <w:rFonts w:ascii="Times New Roman" w:hAnsi="Times New Roman" w:cs="Times New Roman"/>
          <w:sz w:val="24"/>
          <w:szCs w:val="24"/>
        </w:rPr>
        <w:t>I</w:t>
      </w:r>
      <w:r w:rsidR="007703B3">
        <w:rPr>
          <w:rFonts w:ascii="Times New Roman" w:hAnsi="Times New Roman" w:cs="Times New Roman"/>
          <w:sz w:val="24"/>
          <w:szCs w:val="24"/>
        </w:rPr>
        <w:t>nc</w:t>
      </w:r>
      <w:r w:rsidR="003D04EA">
        <w:rPr>
          <w:rFonts w:ascii="Times New Roman" w:hAnsi="Times New Roman" w:cs="Times New Roman"/>
          <w:sz w:val="24"/>
          <w:szCs w:val="24"/>
        </w:rPr>
        <w:t xml:space="preserve"> (DRI)</w:t>
      </w:r>
      <w:r w:rsidR="0000789A">
        <w:rPr>
          <w:rFonts w:ascii="Times New Roman" w:hAnsi="Times New Roman" w:cs="Times New Roman"/>
          <w:sz w:val="24"/>
          <w:szCs w:val="24"/>
        </w:rPr>
        <w:t>.</w:t>
      </w:r>
      <w:r w:rsidR="007703B3">
        <w:rPr>
          <w:rFonts w:ascii="Times New Roman" w:hAnsi="Times New Roman" w:cs="Times New Roman"/>
          <w:sz w:val="24"/>
          <w:szCs w:val="24"/>
        </w:rPr>
        <w:t xml:space="preserve"> </w:t>
      </w:r>
      <w:r w:rsidR="00912730">
        <w:rPr>
          <w:rFonts w:ascii="Times New Roman" w:hAnsi="Times New Roman" w:cs="Times New Roman"/>
          <w:sz w:val="24"/>
          <w:szCs w:val="24"/>
        </w:rPr>
        <w:t xml:space="preserve">The share was increased by </w:t>
      </w:r>
      <w:r w:rsidR="002709C9">
        <w:rPr>
          <w:rFonts w:ascii="Times New Roman" w:hAnsi="Times New Roman" w:cs="Times New Roman"/>
          <w:sz w:val="24"/>
          <w:szCs w:val="24"/>
        </w:rPr>
        <w:t>$12.86</w:t>
      </w:r>
      <w:r w:rsidR="0000789A">
        <w:rPr>
          <w:rFonts w:ascii="Times New Roman" w:hAnsi="Times New Roman" w:cs="Times New Roman"/>
          <w:sz w:val="24"/>
          <w:szCs w:val="24"/>
        </w:rPr>
        <w:t xml:space="preserve"> this week from $148.55 to $161.41, an 8.66% increase. </w:t>
      </w:r>
      <w:r w:rsidR="00284383">
        <w:rPr>
          <w:rFonts w:ascii="Times New Roman" w:hAnsi="Times New Roman" w:cs="Times New Roman"/>
          <w:sz w:val="24"/>
          <w:szCs w:val="24"/>
        </w:rPr>
        <w:t xml:space="preserve">DRI is </w:t>
      </w:r>
      <w:r w:rsidR="00046A16">
        <w:rPr>
          <w:rFonts w:ascii="Times New Roman" w:hAnsi="Times New Roman" w:cs="Times New Roman"/>
          <w:sz w:val="24"/>
          <w:szCs w:val="24"/>
        </w:rPr>
        <w:t xml:space="preserve">16.68% up year to </w:t>
      </w:r>
      <w:r w:rsidR="00035A5D">
        <w:rPr>
          <w:rFonts w:ascii="Times New Roman" w:hAnsi="Times New Roman" w:cs="Times New Roman"/>
          <w:sz w:val="24"/>
          <w:szCs w:val="24"/>
        </w:rPr>
        <w:t>date,</w:t>
      </w:r>
      <w:r w:rsidR="00046A16">
        <w:rPr>
          <w:rFonts w:ascii="Times New Roman" w:hAnsi="Times New Roman" w:cs="Times New Roman"/>
          <w:sz w:val="24"/>
          <w:szCs w:val="24"/>
        </w:rPr>
        <w:t xml:space="preserve"> so they have had a </w:t>
      </w:r>
      <w:r w:rsidR="006E45DA">
        <w:rPr>
          <w:rFonts w:ascii="Times New Roman" w:hAnsi="Times New Roman" w:cs="Times New Roman"/>
          <w:sz w:val="24"/>
          <w:szCs w:val="24"/>
        </w:rPr>
        <w:t>positive first quarter.</w:t>
      </w:r>
      <w:r w:rsidR="00A45D42">
        <w:rPr>
          <w:rFonts w:ascii="Times New Roman" w:hAnsi="Times New Roman" w:cs="Times New Roman"/>
          <w:sz w:val="24"/>
          <w:szCs w:val="24"/>
        </w:rPr>
        <w:t xml:space="preserve"> The projected performance outlook </w:t>
      </w:r>
      <w:r w:rsidR="00035A5D">
        <w:rPr>
          <w:rFonts w:ascii="Times New Roman" w:hAnsi="Times New Roman" w:cs="Times New Roman"/>
          <w:sz w:val="24"/>
          <w:szCs w:val="24"/>
        </w:rPr>
        <w:t xml:space="preserve">is positive for both short term and long-term investments. </w:t>
      </w:r>
      <w:r w:rsidR="0006209C">
        <w:rPr>
          <w:rFonts w:ascii="Times New Roman" w:hAnsi="Times New Roman" w:cs="Times New Roman"/>
          <w:sz w:val="24"/>
          <w:szCs w:val="24"/>
        </w:rPr>
        <w:t>DRI is having their</w:t>
      </w:r>
      <w:r w:rsidR="00270532">
        <w:rPr>
          <w:rFonts w:ascii="Times New Roman" w:hAnsi="Times New Roman" w:cs="Times New Roman"/>
          <w:sz w:val="24"/>
          <w:szCs w:val="24"/>
        </w:rPr>
        <w:t xml:space="preserve"> highest revenue </w:t>
      </w:r>
      <w:r w:rsidR="007569A1">
        <w:rPr>
          <w:rFonts w:ascii="Times New Roman" w:hAnsi="Times New Roman" w:cs="Times New Roman"/>
          <w:sz w:val="24"/>
          <w:szCs w:val="24"/>
        </w:rPr>
        <w:t xml:space="preserve">within the past 4 </w:t>
      </w:r>
      <w:r w:rsidR="00152C85">
        <w:rPr>
          <w:rFonts w:ascii="Times New Roman" w:hAnsi="Times New Roman" w:cs="Times New Roman"/>
          <w:sz w:val="24"/>
          <w:szCs w:val="24"/>
        </w:rPr>
        <w:t>years,</w:t>
      </w:r>
      <w:r w:rsidR="008D65CD">
        <w:rPr>
          <w:rFonts w:ascii="Times New Roman" w:hAnsi="Times New Roman" w:cs="Times New Roman"/>
          <w:sz w:val="24"/>
          <w:szCs w:val="24"/>
        </w:rPr>
        <w:t xml:space="preserve"> so it is safe to assume this company is </w:t>
      </w:r>
      <w:r w:rsidR="00783C09">
        <w:rPr>
          <w:rFonts w:ascii="Times New Roman" w:hAnsi="Times New Roman" w:cs="Times New Roman"/>
          <w:sz w:val="24"/>
          <w:szCs w:val="24"/>
        </w:rPr>
        <w:t xml:space="preserve">going to follow this trend of upward movement. </w:t>
      </w:r>
    </w:p>
    <w:p w14:paraId="247E56A8" w14:textId="0B93C91B" w:rsidR="00FF2E3F" w:rsidRDefault="00152C85" w:rsidP="00EC1854">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se</w:t>
      </w:r>
      <w:r w:rsidR="0060558C">
        <w:rPr>
          <w:rFonts w:ascii="Times New Roman" w:hAnsi="Times New Roman" w:cs="Times New Roman"/>
          <w:sz w:val="24"/>
          <w:szCs w:val="24"/>
        </w:rPr>
        <w:t>cond largest increase</w:t>
      </w:r>
      <w:r w:rsidR="00467A8E">
        <w:rPr>
          <w:rFonts w:ascii="Times New Roman" w:hAnsi="Times New Roman" w:cs="Times New Roman"/>
          <w:sz w:val="24"/>
          <w:szCs w:val="24"/>
        </w:rPr>
        <w:t>d</w:t>
      </w:r>
      <w:r w:rsidR="0060558C">
        <w:rPr>
          <w:rFonts w:ascii="Times New Roman" w:hAnsi="Times New Roman" w:cs="Times New Roman"/>
          <w:sz w:val="24"/>
          <w:szCs w:val="24"/>
        </w:rPr>
        <w:t xml:space="preserve"> </w:t>
      </w:r>
      <w:r w:rsidR="00D95816">
        <w:rPr>
          <w:rFonts w:ascii="Times New Roman" w:hAnsi="Times New Roman" w:cs="Times New Roman"/>
          <w:sz w:val="24"/>
          <w:szCs w:val="24"/>
        </w:rPr>
        <w:t xml:space="preserve">stock this week </w:t>
      </w:r>
      <w:r w:rsidR="0000789A">
        <w:rPr>
          <w:rFonts w:ascii="Times New Roman" w:hAnsi="Times New Roman" w:cs="Times New Roman"/>
          <w:sz w:val="24"/>
          <w:szCs w:val="24"/>
        </w:rPr>
        <w:t>is Rite Aid Co</w:t>
      </w:r>
      <w:r w:rsidR="00EA7556">
        <w:rPr>
          <w:rFonts w:ascii="Times New Roman" w:hAnsi="Times New Roman" w:cs="Times New Roman"/>
          <w:sz w:val="24"/>
          <w:szCs w:val="24"/>
        </w:rPr>
        <w:t>rporation, reporting</w:t>
      </w:r>
      <w:r w:rsidR="000A1E28">
        <w:rPr>
          <w:rFonts w:ascii="Times New Roman" w:hAnsi="Times New Roman" w:cs="Times New Roman"/>
          <w:sz w:val="24"/>
          <w:szCs w:val="24"/>
        </w:rPr>
        <w:t xml:space="preserve"> a</w:t>
      </w:r>
      <w:r w:rsidR="00D95816">
        <w:rPr>
          <w:rFonts w:ascii="Times New Roman" w:hAnsi="Times New Roman" w:cs="Times New Roman"/>
          <w:sz w:val="24"/>
          <w:szCs w:val="24"/>
        </w:rPr>
        <w:t xml:space="preserve"> </w:t>
      </w:r>
      <w:r w:rsidR="0044667F">
        <w:rPr>
          <w:rFonts w:ascii="Times New Roman" w:hAnsi="Times New Roman" w:cs="Times New Roman"/>
          <w:sz w:val="24"/>
          <w:szCs w:val="24"/>
        </w:rPr>
        <w:t>6.99%</w:t>
      </w:r>
      <w:r w:rsidR="000A1E28">
        <w:rPr>
          <w:rFonts w:ascii="Times New Roman" w:hAnsi="Times New Roman" w:cs="Times New Roman"/>
          <w:sz w:val="24"/>
          <w:szCs w:val="24"/>
        </w:rPr>
        <w:t xml:space="preserve"> increase. </w:t>
      </w:r>
      <w:r w:rsidR="00C53631">
        <w:rPr>
          <w:rFonts w:ascii="Times New Roman" w:hAnsi="Times New Roman" w:cs="Times New Roman"/>
          <w:sz w:val="24"/>
          <w:szCs w:val="24"/>
        </w:rPr>
        <w:t xml:space="preserve">Rite Aid Corporation </w:t>
      </w:r>
      <w:r w:rsidR="00C53631" w:rsidRPr="00B019C6">
        <w:rPr>
          <w:rFonts w:ascii="Times New Roman" w:hAnsi="Times New Roman" w:cs="Times New Roman"/>
          <w:sz w:val="24"/>
          <w:szCs w:val="24"/>
        </w:rPr>
        <w:t xml:space="preserve">performed </w:t>
      </w:r>
      <w:r w:rsidR="00467A8E" w:rsidRPr="00B019C6">
        <w:rPr>
          <w:rFonts w:ascii="Times New Roman" w:hAnsi="Times New Roman" w:cs="Times New Roman"/>
          <w:sz w:val="24"/>
          <w:szCs w:val="24"/>
        </w:rPr>
        <w:t>in a positive direction which they desperately need</w:t>
      </w:r>
      <w:r w:rsidR="00EA7556">
        <w:rPr>
          <w:rFonts w:ascii="Times New Roman" w:hAnsi="Times New Roman" w:cs="Times New Roman"/>
          <w:sz w:val="24"/>
          <w:szCs w:val="24"/>
        </w:rPr>
        <w:t>.</w:t>
      </w:r>
      <w:r w:rsidR="00467A8E" w:rsidRPr="00B019C6">
        <w:rPr>
          <w:rFonts w:ascii="Times New Roman" w:hAnsi="Times New Roman" w:cs="Times New Roman"/>
          <w:sz w:val="24"/>
          <w:szCs w:val="24"/>
        </w:rPr>
        <w:t xml:space="preserve"> </w:t>
      </w:r>
      <w:r w:rsidR="00EA7556">
        <w:rPr>
          <w:rFonts w:ascii="Times New Roman" w:hAnsi="Times New Roman" w:cs="Times New Roman"/>
          <w:sz w:val="24"/>
          <w:szCs w:val="24"/>
        </w:rPr>
        <w:t>T</w:t>
      </w:r>
      <w:r w:rsidR="00467A8E" w:rsidRPr="00B019C6">
        <w:rPr>
          <w:rFonts w:ascii="Times New Roman" w:hAnsi="Times New Roman" w:cs="Times New Roman"/>
          <w:sz w:val="24"/>
          <w:szCs w:val="24"/>
        </w:rPr>
        <w:t xml:space="preserve">heir </w:t>
      </w:r>
      <w:r w:rsidR="00EA7556">
        <w:rPr>
          <w:rFonts w:ascii="Times New Roman" w:hAnsi="Times New Roman" w:cs="Times New Roman"/>
          <w:sz w:val="24"/>
          <w:szCs w:val="24"/>
        </w:rPr>
        <w:t xml:space="preserve">shares have been down by 40% in price from the beginning of the year. </w:t>
      </w:r>
      <w:r w:rsidR="00CC011C" w:rsidRPr="00B019C6">
        <w:rPr>
          <w:rFonts w:ascii="Times New Roman" w:hAnsi="Times New Roman" w:cs="Times New Roman"/>
          <w:sz w:val="24"/>
          <w:szCs w:val="24"/>
        </w:rPr>
        <w:t xml:space="preserve">Vandana Singh </w:t>
      </w:r>
      <w:r w:rsidR="00044E61" w:rsidRPr="00B019C6">
        <w:rPr>
          <w:rFonts w:ascii="Times New Roman" w:hAnsi="Times New Roman" w:cs="Times New Roman"/>
          <w:sz w:val="24"/>
          <w:szCs w:val="24"/>
        </w:rPr>
        <w:t xml:space="preserve">stated </w:t>
      </w:r>
      <w:r w:rsidR="00EA7556">
        <w:rPr>
          <w:rFonts w:ascii="Times New Roman" w:hAnsi="Times New Roman" w:cs="Times New Roman"/>
          <w:sz w:val="24"/>
          <w:szCs w:val="24"/>
        </w:rPr>
        <w:t>that the large stock price decrease for Rite Aids is due to</w:t>
      </w:r>
      <w:r w:rsidR="00044E61" w:rsidRPr="00B019C6">
        <w:rPr>
          <w:rFonts w:ascii="Times New Roman" w:hAnsi="Times New Roman" w:cs="Times New Roman"/>
          <w:sz w:val="24"/>
          <w:szCs w:val="24"/>
        </w:rPr>
        <w:t xml:space="preserve"> a reduction in </w:t>
      </w:r>
      <w:r w:rsidR="00044E61" w:rsidRPr="00E52A59">
        <w:rPr>
          <w:rFonts w:ascii="Times New Roman" w:hAnsi="Times New Roman" w:cs="Times New Roman"/>
          <w:sz w:val="24"/>
          <w:szCs w:val="24"/>
        </w:rPr>
        <w:t>revenue from COVID vaccines and testing, store closures, and the loss of commercial clients at Elixir.</w:t>
      </w:r>
      <w:r w:rsidR="006D7B27" w:rsidRPr="00E52A59">
        <w:rPr>
          <w:rFonts w:ascii="Times New Roman" w:hAnsi="Times New Roman" w:cs="Times New Roman"/>
          <w:sz w:val="24"/>
          <w:szCs w:val="24"/>
        </w:rPr>
        <w:t xml:space="preserve"> </w:t>
      </w:r>
      <w:r w:rsidR="00E52A59" w:rsidRPr="00E52A59">
        <w:rPr>
          <w:rFonts w:ascii="Times New Roman" w:hAnsi="Times New Roman" w:cs="Times New Roman"/>
          <w:sz w:val="24"/>
          <w:szCs w:val="24"/>
        </w:rPr>
        <w:t>(Singh, 2023</w:t>
      </w:r>
      <w:r w:rsidR="00EC1854">
        <w:rPr>
          <w:rFonts w:ascii="Times New Roman" w:hAnsi="Times New Roman" w:cs="Times New Roman"/>
          <w:sz w:val="24"/>
          <w:szCs w:val="24"/>
        </w:rPr>
        <w:t>)</w:t>
      </w:r>
      <w:r w:rsidR="00AC079E">
        <w:rPr>
          <w:rFonts w:ascii="Times New Roman" w:hAnsi="Times New Roman" w:cs="Times New Roman"/>
          <w:sz w:val="24"/>
          <w:szCs w:val="24"/>
        </w:rPr>
        <w:t xml:space="preserve"> </w:t>
      </w:r>
    </w:p>
    <w:p w14:paraId="640E303A" w14:textId="1870399D" w:rsidR="00EC1854" w:rsidRDefault="00EC1854" w:rsidP="00EC185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24C88">
        <w:rPr>
          <w:rFonts w:ascii="Times New Roman" w:hAnsi="Times New Roman" w:cs="Times New Roman"/>
          <w:sz w:val="24"/>
          <w:szCs w:val="24"/>
        </w:rPr>
        <w:t xml:space="preserve">This </w:t>
      </w:r>
      <w:r w:rsidR="00BD19A1">
        <w:rPr>
          <w:rFonts w:ascii="Times New Roman" w:hAnsi="Times New Roman" w:cs="Times New Roman"/>
          <w:sz w:val="24"/>
          <w:szCs w:val="24"/>
        </w:rPr>
        <w:t>week’s</w:t>
      </w:r>
      <w:r w:rsidR="00A24C88">
        <w:rPr>
          <w:rFonts w:ascii="Times New Roman" w:hAnsi="Times New Roman" w:cs="Times New Roman"/>
          <w:sz w:val="24"/>
          <w:szCs w:val="24"/>
        </w:rPr>
        <w:t xml:space="preserve"> lowest performers were Ava</w:t>
      </w:r>
      <w:r w:rsidR="00BD19A1">
        <w:rPr>
          <w:rFonts w:ascii="Times New Roman" w:hAnsi="Times New Roman" w:cs="Times New Roman"/>
          <w:sz w:val="24"/>
          <w:szCs w:val="24"/>
        </w:rPr>
        <w:t xml:space="preserve">ngrid inc with a 5.58% decrease in their stock price and </w:t>
      </w:r>
      <w:r w:rsidR="00D22CB9">
        <w:rPr>
          <w:rFonts w:ascii="Times New Roman" w:hAnsi="Times New Roman" w:cs="Times New Roman"/>
          <w:sz w:val="24"/>
          <w:szCs w:val="24"/>
        </w:rPr>
        <w:t xml:space="preserve">Colgate-Palmolive company with a 2.51% decrease. </w:t>
      </w:r>
      <w:r w:rsidR="00EA7556">
        <w:rPr>
          <w:rFonts w:ascii="Times New Roman" w:hAnsi="Times New Roman" w:cs="Times New Roman"/>
          <w:sz w:val="24"/>
          <w:szCs w:val="24"/>
        </w:rPr>
        <w:t>Both</w:t>
      </w:r>
      <w:r w:rsidR="009B4F51">
        <w:rPr>
          <w:rFonts w:ascii="Times New Roman" w:hAnsi="Times New Roman" w:cs="Times New Roman"/>
          <w:sz w:val="24"/>
          <w:szCs w:val="24"/>
        </w:rPr>
        <w:t xml:space="preserve"> companies </w:t>
      </w:r>
      <w:r w:rsidR="00EA7556">
        <w:rPr>
          <w:rFonts w:ascii="Times New Roman" w:hAnsi="Times New Roman" w:cs="Times New Roman"/>
          <w:sz w:val="24"/>
          <w:szCs w:val="24"/>
        </w:rPr>
        <w:t xml:space="preserve">have lost </w:t>
      </w:r>
      <w:r w:rsidR="009B4F51">
        <w:rPr>
          <w:rFonts w:ascii="Times New Roman" w:hAnsi="Times New Roman" w:cs="Times New Roman"/>
          <w:sz w:val="24"/>
          <w:szCs w:val="24"/>
        </w:rPr>
        <w:t xml:space="preserve">a little over $2 per share. </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245EF907"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EA7556">
        <w:rPr>
          <w:rFonts w:ascii="Times New Roman" w:hAnsi="Times New Roman" w:cs="Times New Roman"/>
          <w:sz w:val="24"/>
          <w:szCs w:val="24"/>
        </w:rPr>
        <w:t xml:space="preserve">Associate Professor of Finance </w:t>
      </w:r>
      <w:r>
        <w:rPr>
          <w:rFonts w:ascii="Times New Roman" w:hAnsi="Times New Roman" w:cs="Times New Roman"/>
          <w:sz w:val="24"/>
          <w:szCs w:val="24"/>
        </w:rPr>
        <w:t>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5AA4F5BA" w14:textId="77777777" w:rsidR="00CD2719" w:rsidRDefault="00CD2719" w:rsidP="002877E1">
      <w:pPr>
        <w:spacing w:line="480" w:lineRule="auto"/>
        <w:ind w:firstLine="720"/>
        <w:rPr>
          <w:rFonts w:ascii="Times New Roman" w:hAnsi="Times New Roman" w:cs="Times New Roman"/>
          <w:sz w:val="24"/>
          <w:szCs w:val="24"/>
        </w:rPr>
      </w:pP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3C52512C" w14:textId="77777777" w:rsidR="006D7B27" w:rsidRDefault="006D7B27" w:rsidP="006D7B27">
      <w:pPr>
        <w:pStyle w:val="NormalWeb"/>
        <w:ind w:left="567" w:hanging="567"/>
      </w:pPr>
      <w:r>
        <w:t xml:space="preserve">Singh, V. (n.d.). </w:t>
      </w:r>
      <w:r>
        <w:rPr>
          <w:i/>
          <w:iCs/>
        </w:rPr>
        <w:t>Why rite aid stock is plunging today</w:t>
      </w:r>
      <w:r>
        <w:t xml:space="preserve">. Yahoo! Finance. https://finance.yahoo.com/news/why-rite-aid-stock-plunging-160004526.html </w:t>
      </w:r>
    </w:p>
    <w:p w14:paraId="278C8CA9" w14:textId="77777777" w:rsidR="001F1D59" w:rsidRDefault="001F1D59" w:rsidP="004B5A2E">
      <w:pPr>
        <w:spacing w:line="480" w:lineRule="auto"/>
        <w:ind w:firstLine="720"/>
        <w:rPr>
          <w:rFonts w:ascii="Times New Roman" w:hAnsi="Times New Roman" w:cs="Times New Roman"/>
          <w:b/>
          <w:bCs/>
          <w:sz w:val="24"/>
          <w:szCs w:val="24"/>
        </w:rPr>
      </w:pPr>
    </w:p>
    <w:p w14:paraId="5634047D" w14:textId="77777777" w:rsidR="002877E1" w:rsidRDefault="002877E1" w:rsidP="002877E1">
      <w:pPr>
        <w:spacing w:line="480" w:lineRule="auto"/>
        <w:ind w:firstLine="720"/>
        <w:rPr>
          <w:rFonts w:ascii="Times New Roman" w:hAnsi="Times New Roman" w:cs="Times New Roman"/>
          <w:b/>
          <w:bCs/>
          <w:sz w:val="24"/>
          <w:szCs w:val="24"/>
        </w:rPr>
      </w:pPr>
    </w:p>
    <w:p w14:paraId="47DE6596" w14:textId="77777777" w:rsidR="00CD2719" w:rsidRDefault="00CD2719" w:rsidP="002877E1">
      <w:pPr>
        <w:spacing w:line="480" w:lineRule="auto"/>
        <w:ind w:firstLine="720"/>
        <w:rPr>
          <w:rFonts w:ascii="Times New Roman" w:hAnsi="Times New Roman" w:cs="Times New Roman"/>
          <w:b/>
          <w:bCs/>
          <w:sz w:val="24"/>
          <w:szCs w:val="24"/>
        </w:rPr>
      </w:pPr>
    </w:p>
    <w:p w14:paraId="2C53998C" w14:textId="77777777" w:rsidR="00CD2719" w:rsidRPr="002877E1" w:rsidRDefault="00CD2719"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789A"/>
    <w:rsid w:val="00031A27"/>
    <w:rsid w:val="00032F29"/>
    <w:rsid w:val="00035A5D"/>
    <w:rsid w:val="00042885"/>
    <w:rsid w:val="00042DC2"/>
    <w:rsid w:val="00044E61"/>
    <w:rsid w:val="00046568"/>
    <w:rsid w:val="00046A16"/>
    <w:rsid w:val="00055AC7"/>
    <w:rsid w:val="00060A04"/>
    <w:rsid w:val="0006209C"/>
    <w:rsid w:val="00071A1F"/>
    <w:rsid w:val="00071E46"/>
    <w:rsid w:val="00080DD0"/>
    <w:rsid w:val="00096BA4"/>
    <w:rsid w:val="000A1E28"/>
    <w:rsid w:val="000A3E4F"/>
    <w:rsid w:val="000B0D26"/>
    <w:rsid w:val="000B3FDB"/>
    <w:rsid w:val="000C1610"/>
    <w:rsid w:val="000E4BCD"/>
    <w:rsid w:val="000F2F75"/>
    <w:rsid w:val="000F30B8"/>
    <w:rsid w:val="001003B4"/>
    <w:rsid w:val="00124047"/>
    <w:rsid w:val="00126538"/>
    <w:rsid w:val="00135D39"/>
    <w:rsid w:val="00147EB7"/>
    <w:rsid w:val="00150517"/>
    <w:rsid w:val="001513DF"/>
    <w:rsid w:val="00151C75"/>
    <w:rsid w:val="0015233A"/>
    <w:rsid w:val="00152C85"/>
    <w:rsid w:val="001530E5"/>
    <w:rsid w:val="00162123"/>
    <w:rsid w:val="00182D70"/>
    <w:rsid w:val="00190E75"/>
    <w:rsid w:val="00193560"/>
    <w:rsid w:val="001A20E1"/>
    <w:rsid w:val="001C52F0"/>
    <w:rsid w:val="001C7457"/>
    <w:rsid w:val="001E1584"/>
    <w:rsid w:val="001F1D59"/>
    <w:rsid w:val="001F6C1F"/>
    <w:rsid w:val="00206A4C"/>
    <w:rsid w:val="0020771E"/>
    <w:rsid w:val="00212603"/>
    <w:rsid w:val="00212D90"/>
    <w:rsid w:val="00213B41"/>
    <w:rsid w:val="00232907"/>
    <w:rsid w:val="002564B2"/>
    <w:rsid w:val="002669BB"/>
    <w:rsid w:val="00270532"/>
    <w:rsid w:val="002709C9"/>
    <w:rsid w:val="002772B4"/>
    <w:rsid w:val="00284383"/>
    <w:rsid w:val="002877E1"/>
    <w:rsid w:val="0029764C"/>
    <w:rsid w:val="002B1E7A"/>
    <w:rsid w:val="002D01C1"/>
    <w:rsid w:val="002D21EB"/>
    <w:rsid w:val="002D43A7"/>
    <w:rsid w:val="002F1CD8"/>
    <w:rsid w:val="00301F6A"/>
    <w:rsid w:val="00306491"/>
    <w:rsid w:val="00313812"/>
    <w:rsid w:val="003247E3"/>
    <w:rsid w:val="00324BEB"/>
    <w:rsid w:val="00324CCF"/>
    <w:rsid w:val="003265FB"/>
    <w:rsid w:val="00352D45"/>
    <w:rsid w:val="00375D34"/>
    <w:rsid w:val="00381A67"/>
    <w:rsid w:val="00393D40"/>
    <w:rsid w:val="00394F1A"/>
    <w:rsid w:val="00395E62"/>
    <w:rsid w:val="00396E6C"/>
    <w:rsid w:val="003A14F9"/>
    <w:rsid w:val="003C4CBC"/>
    <w:rsid w:val="003C6182"/>
    <w:rsid w:val="003D04EA"/>
    <w:rsid w:val="003D40B0"/>
    <w:rsid w:val="003D4149"/>
    <w:rsid w:val="003E0232"/>
    <w:rsid w:val="003F33AF"/>
    <w:rsid w:val="004016D4"/>
    <w:rsid w:val="004036D7"/>
    <w:rsid w:val="00406476"/>
    <w:rsid w:val="004239BE"/>
    <w:rsid w:val="00433137"/>
    <w:rsid w:val="0044051D"/>
    <w:rsid w:val="00445BBC"/>
    <w:rsid w:val="0044667F"/>
    <w:rsid w:val="00460553"/>
    <w:rsid w:val="00461187"/>
    <w:rsid w:val="00467A8E"/>
    <w:rsid w:val="004721C1"/>
    <w:rsid w:val="00475993"/>
    <w:rsid w:val="00475B22"/>
    <w:rsid w:val="00475BA8"/>
    <w:rsid w:val="004852F8"/>
    <w:rsid w:val="004A134D"/>
    <w:rsid w:val="004A3B67"/>
    <w:rsid w:val="004B5A2E"/>
    <w:rsid w:val="004D08F8"/>
    <w:rsid w:val="004D24BD"/>
    <w:rsid w:val="004F66D6"/>
    <w:rsid w:val="00501EF6"/>
    <w:rsid w:val="0050540F"/>
    <w:rsid w:val="0051748F"/>
    <w:rsid w:val="005352EF"/>
    <w:rsid w:val="00536AD9"/>
    <w:rsid w:val="0054215A"/>
    <w:rsid w:val="00555C9E"/>
    <w:rsid w:val="00567656"/>
    <w:rsid w:val="005732BC"/>
    <w:rsid w:val="005840AD"/>
    <w:rsid w:val="00595822"/>
    <w:rsid w:val="005968DD"/>
    <w:rsid w:val="005A2ADF"/>
    <w:rsid w:val="005A3506"/>
    <w:rsid w:val="005B7596"/>
    <w:rsid w:val="005C4A3C"/>
    <w:rsid w:val="005D2DE8"/>
    <w:rsid w:val="005D7B6A"/>
    <w:rsid w:val="005F18FC"/>
    <w:rsid w:val="00601E2A"/>
    <w:rsid w:val="00604968"/>
    <w:rsid w:val="0060558C"/>
    <w:rsid w:val="00607F69"/>
    <w:rsid w:val="00615F91"/>
    <w:rsid w:val="00617909"/>
    <w:rsid w:val="00621D45"/>
    <w:rsid w:val="006259DE"/>
    <w:rsid w:val="00626F0A"/>
    <w:rsid w:val="00633E5F"/>
    <w:rsid w:val="0063454A"/>
    <w:rsid w:val="006425B1"/>
    <w:rsid w:val="0065437C"/>
    <w:rsid w:val="006619D3"/>
    <w:rsid w:val="00662343"/>
    <w:rsid w:val="006905CD"/>
    <w:rsid w:val="00690F74"/>
    <w:rsid w:val="006A6DC7"/>
    <w:rsid w:val="006B1FFA"/>
    <w:rsid w:val="006D007F"/>
    <w:rsid w:val="006D18F0"/>
    <w:rsid w:val="006D7B27"/>
    <w:rsid w:val="006E45DA"/>
    <w:rsid w:val="006E480E"/>
    <w:rsid w:val="006F4818"/>
    <w:rsid w:val="0073217F"/>
    <w:rsid w:val="007569A1"/>
    <w:rsid w:val="007622EE"/>
    <w:rsid w:val="007703B3"/>
    <w:rsid w:val="00770901"/>
    <w:rsid w:val="00783490"/>
    <w:rsid w:val="00783C09"/>
    <w:rsid w:val="00787401"/>
    <w:rsid w:val="00791C8C"/>
    <w:rsid w:val="00795F5A"/>
    <w:rsid w:val="0079640C"/>
    <w:rsid w:val="007A6D68"/>
    <w:rsid w:val="007A6DD0"/>
    <w:rsid w:val="007B309D"/>
    <w:rsid w:val="007B6EB0"/>
    <w:rsid w:val="007C7F8C"/>
    <w:rsid w:val="007D3299"/>
    <w:rsid w:val="007D754C"/>
    <w:rsid w:val="0081554D"/>
    <w:rsid w:val="00822BC8"/>
    <w:rsid w:val="00826A73"/>
    <w:rsid w:val="0082773E"/>
    <w:rsid w:val="008326EA"/>
    <w:rsid w:val="00834C05"/>
    <w:rsid w:val="00835418"/>
    <w:rsid w:val="0083589E"/>
    <w:rsid w:val="00853BCA"/>
    <w:rsid w:val="00860634"/>
    <w:rsid w:val="00871236"/>
    <w:rsid w:val="00896D55"/>
    <w:rsid w:val="008A3A31"/>
    <w:rsid w:val="008B609C"/>
    <w:rsid w:val="008B759B"/>
    <w:rsid w:val="008C708F"/>
    <w:rsid w:val="008D3BB6"/>
    <w:rsid w:val="008D45C4"/>
    <w:rsid w:val="008D65CD"/>
    <w:rsid w:val="008E0A7B"/>
    <w:rsid w:val="008E1D38"/>
    <w:rsid w:val="00900465"/>
    <w:rsid w:val="00903D1A"/>
    <w:rsid w:val="00912730"/>
    <w:rsid w:val="00916859"/>
    <w:rsid w:val="0092500C"/>
    <w:rsid w:val="00934655"/>
    <w:rsid w:val="009429ED"/>
    <w:rsid w:val="00947604"/>
    <w:rsid w:val="00954146"/>
    <w:rsid w:val="00965183"/>
    <w:rsid w:val="00971B0B"/>
    <w:rsid w:val="0097769D"/>
    <w:rsid w:val="009909F3"/>
    <w:rsid w:val="009A0F3D"/>
    <w:rsid w:val="009B31FF"/>
    <w:rsid w:val="009B4F51"/>
    <w:rsid w:val="009C2983"/>
    <w:rsid w:val="009D6373"/>
    <w:rsid w:val="009E65B2"/>
    <w:rsid w:val="009E6879"/>
    <w:rsid w:val="00A2163E"/>
    <w:rsid w:val="00A24C88"/>
    <w:rsid w:val="00A25F16"/>
    <w:rsid w:val="00A32CA7"/>
    <w:rsid w:val="00A45D42"/>
    <w:rsid w:val="00A523AE"/>
    <w:rsid w:val="00A7264C"/>
    <w:rsid w:val="00A9045B"/>
    <w:rsid w:val="00A91129"/>
    <w:rsid w:val="00A956CB"/>
    <w:rsid w:val="00AA1ED2"/>
    <w:rsid w:val="00AA2883"/>
    <w:rsid w:val="00AA5AB2"/>
    <w:rsid w:val="00AB48B5"/>
    <w:rsid w:val="00AC079E"/>
    <w:rsid w:val="00AE3A17"/>
    <w:rsid w:val="00B019C6"/>
    <w:rsid w:val="00B0227D"/>
    <w:rsid w:val="00B13A3D"/>
    <w:rsid w:val="00B15F94"/>
    <w:rsid w:val="00B33F39"/>
    <w:rsid w:val="00B60CDE"/>
    <w:rsid w:val="00B63120"/>
    <w:rsid w:val="00B67B01"/>
    <w:rsid w:val="00B9647B"/>
    <w:rsid w:val="00BA643F"/>
    <w:rsid w:val="00BC0377"/>
    <w:rsid w:val="00BC0A50"/>
    <w:rsid w:val="00BC2DCA"/>
    <w:rsid w:val="00BC50E0"/>
    <w:rsid w:val="00BD19A1"/>
    <w:rsid w:val="00BD574B"/>
    <w:rsid w:val="00BE1E92"/>
    <w:rsid w:val="00BE639F"/>
    <w:rsid w:val="00C0499D"/>
    <w:rsid w:val="00C16D22"/>
    <w:rsid w:val="00C17B8D"/>
    <w:rsid w:val="00C27D9B"/>
    <w:rsid w:val="00C30CEC"/>
    <w:rsid w:val="00C32D9D"/>
    <w:rsid w:val="00C42CFB"/>
    <w:rsid w:val="00C4362C"/>
    <w:rsid w:val="00C463A4"/>
    <w:rsid w:val="00C51C95"/>
    <w:rsid w:val="00C53631"/>
    <w:rsid w:val="00C60EC9"/>
    <w:rsid w:val="00C650EA"/>
    <w:rsid w:val="00CA3A97"/>
    <w:rsid w:val="00CB7F91"/>
    <w:rsid w:val="00CC011C"/>
    <w:rsid w:val="00CC0EA4"/>
    <w:rsid w:val="00CC4E76"/>
    <w:rsid w:val="00CC5216"/>
    <w:rsid w:val="00CD1D6A"/>
    <w:rsid w:val="00CD2719"/>
    <w:rsid w:val="00CE1D26"/>
    <w:rsid w:val="00CE2E67"/>
    <w:rsid w:val="00CF2CAB"/>
    <w:rsid w:val="00CF5D4F"/>
    <w:rsid w:val="00D12187"/>
    <w:rsid w:val="00D14D40"/>
    <w:rsid w:val="00D22CB9"/>
    <w:rsid w:val="00D31AFA"/>
    <w:rsid w:val="00D41DF8"/>
    <w:rsid w:val="00D50CA3"/>
    <w:rsid w:val="00D530ED"/>
    <w:rsid w:val="00D60EE9"/>
    <w:rsid w:val="00D83741"/>
    <w:rsid w:val="00D86E74"/>
    <w:rsid w:val="00D95816"/>
    <w:rsid w:val="00DA6E02"/>
    <w:rsid w:val="00DB1606"/>
    <w:rsid w:val="00DC6CC3"/>
    <w:rsid w:val="00DE0389"/>
    <w:rsid w:val="00DE0C9E"/>
    <w:rsid w:val="00DE19B9"/>
    <w:rsid w:val="00DF04ED"/>
    <w:rsid w:val="00E11517"/>
    <w:rsid w:val="00E17A64"/>
    <w:rsid w:val="00E338FC"/>
    <w:rsid w:val="00E47850"/>
    <w:rsid w:val="00E52A59"/>
    <w:rsid w:val="00E6086F"/>
    <w:rsid w:val="00E618B7"/>
    <w:rsid w:val="00E645CC"/>
    <w:rsid w:val="00E7752E"/>
    <w:rsid w:val="00E80208"/>
    <w:rsid w:val="00E9552F"/>
    <w:rsid w:val="00EA7556"/>
    <w:rsid w:val="00EC1854"/>
    <w:rsid w:val="00EC58C9"/>
    <w:rsid w:val="00EE1843"/>
    <w:rsid w:val="00EE6133"/>
    <w:rsid w:val="00EE6B96"/>
    <w:rsid w:val="00EF5B65"/>
    <w:rsid w:val="00EF61E1"/>
    <w:rsid w:val="00F07794"/>
    <w:rsid w:val="00F137BF"/>
    <w:rsid w:val="00F20F30"/>
    <w:rsid w:val="00F2553E"/>
    <w:rsid w:val="00F63F39"/>
    <w:rsid w:val="00F65555"/>
    <w:rsid w:val="00F6594A"/>
    <w:rsid w:val="00F65F05"/>
    <w:rsid w:val="00F67C86"/>
    <w:rsid w:val="00F7327A"/>
    <w:rsid w:val="00F735A4"/>
    <w:rsid w:val="00F83226"/>
    <w:rsid w:val="00F9036A"/>
    <w:rsid w:val="00FB04A3"/>
    <w:rsid w:val="00FB07CD"/>
    <w:rsid w:val="00FE4252"/>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57</cp:revision>
  <dcterms:created xsi:type="dcterms:W3CDTF">2023-05-19T20:45:00Z</dcterms:created>
  <dcterms:modified xsi:type="dcterms:W3CDTF">2023-05-21T01:20:00Z</dcterms:modified>
</cp:coreProperties>
</file>