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969" w14:textId="177062E9" w:rsidR="006D007F" w:rsidRDefault="006D007F" w:rsidP="006D007F">
      <w:pPr>
        <w:spacing w:line="48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Husson</w:t>
      </w:r>
      <w:proofErr w:type="spellEnd"/>
      <w:r>
        <w:rPr>
          <w:rFonts w:ascii="Times New Roman" w:hAnsi="Times New Roman" w:cs="Times New Roman"/>
          <w:b/>
          <w:bCs/>
          <w:sz w:val="24"/>
          <w:szCs w:val="24"/>
        </w:rPr>
        <w:t xml:space="preserve"> Stock Index </w:t>
      </w:r>
    </w:p>
    <w:p w14:paraId="478D5B80" w14:textId="144E830D" w:rsidR="00CF5D4F" w:rsidRPr="00D31AFA" w:rsidRDefault="006D007F" w:rsidP="00D31AF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662343">
        <w:rPr>
          <w:rFonts w:ascii="Times New Roman" w:hAnsi="Times New Roman" w:cs="Times New Roman"/>
          <w:b/>
          <w:bCs/>
          <w:sz w:val="24"/>
          <w:szCs w:val="24"/>
        </w:rPr>
        <w:t>March 03</w:t>
      </w:r>
      <w:r>
        <w:rPr>
          <w:rFonts w:ascii="Times New Roman" w:hAnsi="Times New Roman" w:cs="Times New Roman"/>
          <w:b/>
          <w:bCs/>
          <w:sz w:val="24"/>
          <w:szCs w:val="24"/>
        </w:rPr>
        <w:t>, 2023</w:t>
      </w:r>
      <w:r w:rsidR="00A7264C">
        <w:rPr>
          <w:rFonts w:ascii="Times New Roman" w:hAnsi="Times New Roman" w:cs="Times New Roman"/>
          <w:sz w:val="24"/>
          <w:szCs w:val="24"/>
        </w:rPr>
        <w:t xml:space="preserve"> </w:t>
      </w:r>
    </w:p>
    <w:p w14:paraId="418695E7" w14:textId="36231EBA" w:rsidR="00313812" w:rsidRDefault="00313812" w:rsidP="004016D4">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March 03,</w:t>
      </w:r>
      <w:r w:rsidR="002B1E7A">
        <w:rPr>
          <w:rFonts w:ascii="Times New Roman" w:hAnsi="Times New Roman" w:cs="Times New Roman"/>
          <w:sz w:val="24"/>
          <w:szCs w:val="24"/>
        </w:rPr>
        <w:t xml:space="preserve"> 2023, the </w:t>
      </w:r>
      <w:proofErr w:type="spellStart"/>
      <w:r w:rsidR="002B1E7A">
        <w:rPr>
          <w:rFonts w:ascii="Times New Roman" w:hAnsi="Times New Roman" w:cs="Times New Roman"/>
          <w:sz w:val="24"/>
          <w:szCs w:val="24"/>
        </w:rPr>
        <w:t>Husson</w:t>
      </w:r>
      <w:proofErr w:type="spellEnd"/>
      <w:r w:rsidR="002B1E7A">
        <w:rPr>
          <w:rFonts w:ascii="Times New Roman" w:hAnsi="Times New Roman" w:cs="Times New Roman"/>
          <w:sz w:val="24"/>
          <w:szCs w:val="24"/>
        </w:rPr>
        <w:t xml:space="preserve"> Stock Index (HSI) ended the week at 211.11</w:t>
      </w:r>
      <w:r w:rsidR="00461187">
        <w:rPr>
          <w:rFonts w:ascii="Times New Roman" w:hAnsi="Times New Roman" w:cs="Times New Roman"/>
          <w:sz w:val="24"/>
          <w:szCs w:val="24"/>
        </w:rPr>
        <w:t>. This represents a 1.16% increase from the week prior and contributes to the 4.96% increase year to date. In comparison</w:t>
      </w:r>
      <w:r w:rsidR="009C3CAA">
        <w:rPr>
          <w:rFonts w:ascii="Times New Roman" w:hAnsi="Times New Roman" w:cs="Times New Roman"/>
          <w:sz w:val="24"/>
          <w:szCs w:val="24"/>
        </w:rPr>
        <w:t>,</w:t>
      </w:r>
      <w:r w:rsidR="00461187">
        <w:rPr>
          <w:rFonts w:ascii="Times New Roman" w:hAnsi="Times New Roman" w:cs="Times New Roman"/>
          <w:sz w:val="24"/>
          <w:szCs w:val="24"/>
        </w:rPr>
        <w:t xml:space="preserve"> the S&amp;P 500 </w:t>
      </w:r>
      <w:r w:rsidR="00032F29">
        <w:rPr>
          <w:rFonts w:ascii="Times New Roman" w:hAnsi="Times New Roman" w:cs="Times New Roman"/>
          <w:sz w:val="24"/>
          <w:szCs w:val="24"/>
        </w:rPr>
        <w:t>increased 1.9</w:t>
      </w:r>
      <w:r w:rsidR="009C3CAA">
        <w:rPr>
          <w:rFonts w:ascii="Times New Roman" w:hAnsi="Times New Roman" w:cs="Times New Roman"/>
          <w:sz w:val="24"/>
          <w:szCs w:val="24"/>
        </w:rPr>
        <w:t>0</w:t>
      </w:r>
      <w:r w:rsidR="00032F29">
        <w:rPr>
          <w:rFonts w:ascii="Times New Roman" w:hAnsi="Times New Roman" w:cs="Times New Roman"/>
          <w:sz w:val="24"/>
          <w:szCs w:val="24"/>
        </w:rPr>
        <w:t xml:space="preserve">% this week and </w:t>
      </w:r>
      <w:r w:rsidR="00F7327A">
        <w:rPr>
          <w:rFonts w:ascii="Times New Roman" w:hAnsi="Times New Roman" w:cs="Times New Roman"/>
          <w:sz w:val="24"/>
          <w:szCs w:val="24"/>
        </w:rPr>
        <w:t>5.37% year to date</w:t>
      </w:r>
      <w:r w:rsidR="000B3FDB">
        <w:rPr>
          <w:rFonts w:ascii="Times New Roman" w:hAnsi="Times New Roman" w:cs="Times New Roman"/>
          <w:sz w:val="24"/>
          <w:szCs w:val="24"/>
        </w:rPr>
        <w:t>, and the D</w:t>
      </w:r>
      <w:r w:rsidR="009C3CAA">
        <w:rPr>
          <w:rFonts w:ascii="Times New Roman" w:hAnsi="Times New Roman" w:cs="Times New Roman"/>
          <w:sz w:val="24"/>
          <w:szCs w:val="24"/>
        </w:rPr>
        <w:t>ow</w:t>
      </w:r>
      <w:r w:rsidR="000B3FDB">
        <w:rPr>
          <w:rFonts w:ascii="Times New Roman" w:hAnsi="Times New Roman" w:cs="Times New Roman"/>
          <w:sz w:val="24"/>
          <w:szCs w:val="24"/>
        </w:rPr>
        <w:t xml:space="preserve"> Jones increased 1.76% over last week with a </w:t>
      </w:r>
      <w:r w:rsidR="00662343">
        <w:rPr>
          <w:rFonts w:ascii="Times New Roman" w:hAnsi="Times New Roman" w:cs="Times New Roman"/>
          <w:sz w:val="24"/>
          <w:szCs w:val="24"/>
        </w:rPr>
        <w:t>.7</w:t>
      </w:r>
      <w:r w:rsidR="009C3CAA">
        <w:rPr>
          <w:rFonts w:ascii="Times New Roman" w:hAnsi="Times New Roman" w:cs="Times New Roman"/>
          <w:sz w:val="24"/>
          <w:szCs w:val="24"/>
        </w:rPr>
        <w:t>4</w:t>
      </w:r>
      <w:r w:rsidR="00662343">
        <w:rPr>
          <w:rFonts w:ascii="Times New Roman" w:hAnsi="Times New Roman" w:cs="Times New Roman"/>
          <w:sz w:val="24"/>
          <w:szCs w:val="24"/>
        </w:rPr>
        <w:t>% increase year to date.</w:t>
      </w:r>
    </w:p>
    <w:p w14:paraId="17182C46" w14:textId="15E00E82" w:rsidR="0054215A" w:rsidRPr="00BE1E92" w:rsidRDefault="00965183" w:rsidP="00BE1E9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sidR="005C4A3C">
        <w:rPr>
          <w:rFonts w:ascii="Times New Roman" w:hAnsi="Times New Roman" w:cs="Times New Roman"/>
          <w:sz w:val="24"/>
          <w:szCs w:val="24"/>
        </w:rPr>
        <w:t xml:space="preserve"> </w:t>
      </w:r>
      <w:r w:rsidR="00AA1ED2">
        <w:rPr>
          <w:rFonts w:ascii="Times New Roman" w:hAnsi="Times New Roman" w:cs="Times New Roman"/>
          <w:sz w:val="24"/>
          <w:szCs w:val="24"/>
        </w:rPr>
        <w:t xml:space="preserve"> </w:t>
      </w:r>
    </w:p>
    <w:p w14:paraId="376382CB" w14:textId="2FC6DB01" w:rsidR="00475B22" w:rsidRDefault="00AA1ED2" w:rsidP="00965183">
      <w:pPr>
        <w:spacing w:line="480" w:lineRule="auto"/>
        <w:rPr>
          <w:rFonts w:ascii="Times New Roman" w:hAnsi="Times New Roman" w:cs="Times New Roman"/>
          <w:sz w:val="24"/>
          <w:szCs w:val="24"/>
        </w:rPr>
      </w:pPr>
      <w:r>
        <w:rPr>
          <w:rFonts w:ascii="Times New Roman" w:hAnsi="Times New Roman" w:cs="Times New Roman"/>
          <w:sz w:val="24"/>
          <w:szCs w:val="24"/>
        </w:rPr>
        <w:tab/>
        <w:t>The stock that had the best performance this week for p</w:t>
      </w:r>
      <w:r w:rsidR="00AA5AB2">
        <w:rPr>
          <w:rFonts w:ascii="Times New Roman" w:hAnsi="Times New Roman" w:cs="Times New Roman"/>
          <w:sz w:val="24"/>
          <w:szCs w:val="24"/>
        </w:rPr>
        <w:t>ercentage increase was Val</w:t>
      </w:r>
      <w:r w:rsidR="00FB04A3">
        <w:rPr>
          <w:rFonts w:ascii="Times New Roman" w:hAnsi="Times New Roman" w:cs="Times New Roman"/>
          <w:sz w:val="24"/>
          <w:szCs w:val="24"/>
        </w:rPr>
        <w:t xml:space="preserve">ero Energy Corporation (VLO). VLO increased from $132.75 to </w:t>
      </w:r>
      <w:r w:rsidR="00BE1E92">
        <w:rPr>
          <w:rFonts w:ascii="Times New Roman" w:hAnsi="Times New Roman" w:cs="Times New Roman"/>
          <w:sz w:val="24"/>
          <w:szCs w:val="24"/>
        </w:rPr>
        <w:t>$141.17 per share. This equates to a 6.34% increase in price</w:t>
      </w:r>
      <w:r w:rsidR="009C3CAA">
        <w:rPr>
          <w:rFonts w:ascii="Times New Roman" w:hAnsi="Times New Roman" w:cs="Times New Roman"/>
          <w:sz w:val="24"/>
          <w:szCs w:val="24"/>
        </w:rPr>
        <w:t>, which marks</w:t>
      </w:r>
      <w:r w:rsidR="00BE1E92">
        <w:rPr>
          <w:rFonts w:ascii="Times New Roman" w:hAnsi="Times New Roman" w:cs="Times New Roman"/>
          <w:sz w:val="24"/>
          <w:szCs w:val="24"/>
        </w:rPr>
        <w:t xml:space="preserve"> the second week in a row </w:t>
      </w:r>
      <w:r w:rsidR="009C3CAA">
        <w:rPr>
          <w:rFonts w:ascii="Times New Roman" w:hAnsi="Times New Roman" w:cs="Times New Roman"/>
          <w:sz w:val="24"/>
          <w:szCs w:val="24"/>
        </w:rPr>
        <w:t>that</w:t>
      </w:r>
      <w:r w:rsidR="00BE1E92">
        <w:rPr>
          <w:rFonts w:ascii="Times New Roman" w:hAnsi="Times New Roman" w:cs="Times New Roman"/>
          <w:sz w:val="24"/>
          <w:szCs w:val="24"/>
        </w:rPr>
        <w:t xml:space="preserve"> </w:t>
      </w:r>
      <w:r w:rsidR="00306491">
        <w:rPr>
          <w:rFonts w:ascii="Times New Roman" w:hAnsi="Times New Roman" w:cs="Times New Roman"/>
          <w:sz w:val="24"/>
          <w:szCs w:val="24"/>
        </w:rPr>
        <w:t>V</w:t>
      </w:r>
      <w:r w:rsidR="00BE1E92">
        <w:rPr>
          <w:rFonts w:ascii="Times New Roman" w:hAnsi="Times New Roman" w:cs="Times New Roman"/>
          <w:sz w:val="24"/>
          <w:szCs w:val="24"/>
        </w:rPr>
        <w:t xml:space="preserve">LO has been </w:t>
      </w:r>
      <w:r w:rsidR="009C3CAA">
        <w:rPr>
          <w:rFonts w:ascii="Times New Roman" w:hAnsi="Times New Roman" w:cs="Times New Roman"/>
          <w:sz w:val="24"/>
          <w:szCs w:val="24"/>
        </w:rPr>
        <w:t>among</w:t>
      </w:r>
      <w:r w:rsidR="00BE1E92">
        <w:rPr>
          <w:rFonts w:ascii="Times New Roman" w:hAnsi="Times New Roman" w:cs="Times New Roman"/>
          <w:sz w:val="24"/>
          <w:szCs w:val="24"/>
        </w:rPr>
        <w:t xml:space="preserve"> the top two</w:t>
      </w:r>
      <w:r w:rsidR="009C3CAA">
        <w:rPr>
          <w:rFonts w:ascii="Times New Roman" w:hAnsi="Times New Roman" w:cs="Times New Roman"/>
          <w:sz w:val="24"/>
          <w:szCs w:val="24"/>
        </w:rPr>
        <w:t xml:space="preserve"> best</w:t>
      </w:r>
      <w:r w:rsidR="00BE1E92">
        <w:rPr>
          <w:rFonts w:ascii="Times New Roman" w:hAnsi="Times New Roman" w:cs="Times New Roman"/>
          <w:sz w:val="24"/>
          <w:szCs w:val="24"/>
        </w:rPr>
        <w:t xml:space="preserve"> performing stocks.</w:t>
      </w:r>
      <w:r w:rsidR="00F2553E">
        <w:rPr>
          <w:rFonts w:ascii="Times New Roman" w:hAnsi="Times New Roman" w:cs="Times New Roman"/>
          <w:sz w:val="24"/>
          <w:szCs w:val="24"/>
        </w:rPr>
        <w:t xml:space="preserve"> </w:t>
      </w:r>
      <w:r w:rsidR="006E480E">
        <w:rPr>
          <w:rFonts w:ascii="Times New Roman" w:hAnsi="Times New Roman" w:cs="Times New Roman"/>
          <w:sz w:val="24"/>
          <w:szCs w:val="24"/>
        </w:rPr>
        <w:t xml:space="preserve">In an article published by markets insiders, and written by </w:t>
      </w:r>
      <w:proofErr w:type="spellStart"/>
      <w:r w:rsidR="006E480E">
        <w:rPr>
          <w:rFonts w:ascii="Times New Roman" w:hAnsi="Times New Roman" w:cs="Times New Roman"/>
          <w:sz w:val="24"/>
          <w:szCs w:val="24"/>
        </w:rPr>
        <w:t>Zacks</w:t>
      </w:r>
      <w:proofErr w:type="spellEnd"/>
      <w:r w:rsidR="006E480E">
        <w:rPr>
          <w:rFonts w:ascii="Times New Roman" w:hAnsi="Times New Roman" w:cs="Times New Roman"/>
          <w:sz w:val="24"/>
          <w:szCs w:val="24"/>
        </w:rPr>
        <w:t xml:space="preserve"> Equity </w:t>
      </w:r>
      <w:r w:rsidR="007A6DD0">
        <w:rPr>
          <w:rFonts w:ascii="Times New Roman" w:hAnsi="Times New Roman" w:cs="Times New Roman"/>
          <w:sz w:val="24"/>
          <w:szCs w:val="24"/>
        </w:rPr>
        <w:t xml:space="preserve">Research, they quote the </w:t>
      </w:r>
      <w:r w:rsidR="009C3CAA">
        <w:rPr>
          <w:rFonts w:ascii="Times New Roman" w:hAnsi="Times New Roman" w:cs="Times New Roman"/>
          <w:sz w:val="24"/>
          <w:szCs w:val="24"/>
        </w:rPr>
        <w:t>well-known</w:t>
      </w:r>
      <w:r w:rsidR="007A6DD0">
        <w:rPr>
          <w:rFonts w:ascii="Times New Roman" w:hAnsi="Times New Roman" w:cs="Times New Roman"/>
          <w:sz w:val="24"/>
          <w:szCs w:val="24"/>
        </w:rPr>
        <w:t xml:space="preserve"> investor, Kevin O’</w:t>
      </w:r>
      <w:r w:rsidR="009C3CAA">
        <w:rPr>
          <w:rFonts w:ascii="Times New Roman" w:hAnsi="Times New Roman" w:cs="Times New Roman"/>
          <w:sz w:val="24"/>
          <w:szCs w:val="24"/>
        </w:rPr>
        <w:t>L</w:t>
      </w:r>
      <w:r w:rsidR="007A6DD0">
        <w:rPr>
          <w:rFonts w:ascii="Times New Roman" w:hAnsi="Times New Roman" w:cs="Times New Roman"/>
          <w:sz w:val="24"/>
          <w:szCs w:val="24"/>
        </w:rPr>
        <w:t>eary</w:t>
      </w:r>
      <w:r w:rsidR="009C3CAA">
        <w:rPr>
          <w:rFonts w:ascii="Times New Roman" w:hAnsi="Times New Roman" w:cs="Times New Roman"/>
          <w:sz w:val="24"/>
          <w:szCs w:val="24"/>
        </w:rPr>
        <w:t>,</w:t>
      </w:r>
      <w:r w:rsidR="007A6DD0">
        <w:rPr>
          <w:rFonts w:ascii="Times New Roman" w:hAnsi="Times New Roman" w:cs="Times New Roman"/>
          <w:sz w:val="24"/>
          <w:szCs w:val="24"/>
        </w:rPr>
        <w:t xml:space="preserve"> </w:t>
      </w:r>
      <w:r w:rsidR="009C3CAA">
        <w:rPr>
          <w:rFonts w:ascii="Times New Roman" w:hAnsi="Times New Roman" w:cs="Times New Roman"/>
          <w:sz w:val="24"/>
          <w:szCs w:val="24"/>
        </w:rPr>
        <w:t>as</w:t>
      </w:r>
      <w:r w:rsidR="007A6DD0">
        <w:rPr>
          <w:rFonts w:ascii="Times New Roman" w:hAnsi="Times New Roman" w:cs="Times New Roman"/>
          <w:sz w:val="24"/>
          <w:szCs w:val="24"/>
        </w:rPr>
        <w:t xml:space="preserve"> saying that VLO is one of the major energy stocks to watch after a bad February month. </w:t>
      </w:r>
      <w:r w:rsidR="00E9552F">
        <w:rPr>
          <w:rFonts w:ascii="Times New Roman" w:hAnsi="Times New Roman" w:cs="Times New Roman"/>
          <w:sz w:val="24"/>
          <w:szCs w:val="24"/>
        </w:rPr>
        <w:t xml:space="preserve">This coupled with the fact that VLO has maintained a </w:t>
      </w:r>
      <w:r w:rsidR="00E80208">
        <w:rPr>
          <w:rFonts w:ascii="Times New Roman" w:hAnsi="Times New Roman" w:cs="Times New Roman"/>
          <w:sz w:val="24"/>
          <w:szCs w:val="24"/>
        </w:rPr>
        <w:t>3.2% increase over the last month compared to the industr</w:t>
      </w:r>
      <w:r w:rsidR="009C3CAA">
        <w:rPr>
          <w:rFonts w:ascii="Times New Roman" w:hAnsi="Times New Roman" w:cs="Times New Roman"/>
          <w:sz w:val="24"/>
          <w:szCs w:val="24"/>
        </w:rPr>
        <w:t>y’s</w:t>
      </w:r>
      <w:r w:rsidR="00E80208">
        <w:rPr>
          <w:rFonts w:ascii="Times New Roman" w:hAnsi="Times New Roman" w:cs="Times New Roman"/>
          <w:sz w:val="24"/>
          <w:szCs w:val="24"/>
        </w:rPr>
        <w:t xml:space="preserve"> 3.9% decrease</w:t>
      </w:r>
      <w:r w:rsidR="009C3CAA">
        <w:rPr>
          <w:rFonts w:ascii="Times New Roman" w:hAnsi="Times New Roman" w:cs="Times New Roman"/>
          <w:sz w:val="24"/>
          <w:szCs w:val="24"/>
        </w:rPr>
        <w:t>. This</w:t>
      </w:r>
      <w:r w:rsidR="001D382B">
        <w:rPr>
          <w:rFonts w:ascii="Times New Roman" w:hAnsi="Times New Roman" w:cs="Times New Roman"/>
          <w:sz w:val="24"/>
          <w:szCs w:val="24"/>
        </w:rPr>
        <w:t xml:space="preserve"> </w:t>
      </w:r>
      <w:r w:rsidR="00E80208">
        <w:rPr>
          <w:rFonts w:ascii="Times New Roman" w:hAnsi="Times New Roman" w:cs="Times New Roman"/>
          <w:sz w:val="24"/>
          <w:szCs w:val="24"/>
        </w:rPr>
        <w:t xml:space="preserve">makes </w:t>
      </w:r>
      <w:r w:rsidR="009C3CAA">
        <w:rPr>
          <w:rFonts w:ascii="Times New Roman" w:hAnsi="Times New Roman" w:cs="Times New Roman"/>
          <w:sz w:val="24"/>
          <w:szCs w:val="24"/>
        </w:rPr>
        <w:t>VLO</w:t>
      </w:r>
      <w:r w:rsidR="00E80208">
        <w:rPr>
          <w:rFonts w:ascii="Times New Roman" w:hAnsi="Times New Roman" w:cs="Times New Roman"/>
          <w:sz w:val="24"/>
          <w:szCs w:val="24"/>
        </w:rPr>
        <w:t xml:space="preserve"> a stock that many have kept an eye on going into the month of </w:t>
      </w:r>
      <w:r w:rsidR="00CA603F">
        <w:rPr>
          <w:rFonts w:ascii="Times New Roman" w:hAnsi="Times New Roman" w:cs="Times New Roman"/>
          <w:sz w:val="24"/>
          <w:szCs w:val="24"/>
        </w:rPr>
        <w:t>March</w:t>
      </w:r>
      <w:r w:rsidR="00E80208">
        <w:rPr>
          <w:rFonts w:ascii="Times New Roman" w:hAnsi="Times New Roman" w:cs="Times New Roman"/>
          <w:sz w:val="24"/>
          <w:szCs w:val="24"/>
        </w:rPr>
        <w:t>. (</w:t>
      </w:r>
      <w:proofErr w:type="spellStart"/>
      <w:r w:rsidR="00E80208">
        <w:rPr>
          <w:rFonts w:ascii="Times New Roman" w:hAnsi="Times New Roman" w:cs="Times New Roman"/>
          <w:sz w:val="24"/>
          <w:szCs w:val="24"/>
        </w:rPr>
        <w:t>Zacks</w:t>
      </w:r>
      <w:proofErr w:type="spellEnd"/>
      <w:r w:rsidR="00E80208">
        <w:rPr>
          <w:rFonts w:ascii="Times New Roman" w:hAnsi="Times New Roman" w:cs="Times New Roman"/>
          <w:sz w:val="24"/>
          <w:szCs w:val="24"/>
        </w:rPr>
        <w:t>, 2023)</w:t>
      </w:r>
    </w:p>
    <w:p w14:paraId="3D49AD62" w14:textId="05CA850A" w:rsidR="00F2553E" w:rsidRDefault="00690F74" w:rsidP="00965183">
      <w:pPr>
        <w:spacing w:line="480" w:lineRule="auto"/>
        <w:rPr>
          <w:rFonts w:ascii="Times New Roman" w:hAnsi="Times New Roman" w:cs="Times New Roman"/>
          <w:sz w:val="24"/>
          <w:szCs w:val="24"/>
        </w:rPr>
      </w:pPr>
      <w:r>
        <w:rPr>
          <w:rFonts w:ascii="Times New Roman" w:hAnsi="Times New Roman" w:cs="Times New Roman"/>
          <w:sz w:val="24"/>
          <w:szCs w:val="24"/>
        </w:rPr>
        <w:tab/>
        <w:t>The second largest increase percentagewise this week was from IDEXX Lab</w:t>
      </w:r>
      <w:r w:rsidR="00147EB7">
        <w:rPr>
          <w:rFonts w:ascii="Times New Roman" w:hAnsi="Times New Roman" w:cs="Times New Roman"/>
          <w:sz w:val="24"/>
          <w:szCs w:val="24"/>
        </w:rPr>
        <w:t xml:space="preserve">oratories Inc. (IDXX). IDXX increased from $468.17 to </w:t>
      </w:r>
      <w:r w:rsidR="00770901">
        <w:rPr>
          <w:rFonts w:ascii="Times New Roman" w:hAnsi="Times New Roman" w:cs="Times New Roman"/>
          <w:sz w:val="24"/>
          <w:szCs w:val="24"/>
        </w:rPr>
        <w:t>$488.00 per share. That is equal to a 4.24% increase from last week.</w:t>
      </w:r>
    </w:p>
    <w:p w14:paraId="4266F9A7" w14:textId="635871D3" w:rsidR="00042885" w:rsidRDefault="00301F6A"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with the biggest decrease this week was Rite Aid Corporation (RAD). </w:t>
      </w:r>
      <w:r w:rsidR="00CA603F">
        <w:rPr>
          <w:rFonts w:ascii="Times New Roman" w:hAnsi="Times New Roman" w:cs="Times New Roman"/>
          <w:sz w:val="24"/>
          <w:szCs w:val="24"/>
        </w:rPr>
        <w:t xml:space="preserve">RAD </w:t>
      </w:r>
      <w:r>
        <w:rPr>
          <w:rFonts w:ascii="Times New Roman" w:hAnsi="Times New Roman" w:cs="Times New Roman"/>
          <w:sz w:val="24"/>
          <w:szCs w:val="24"/>
        </w:rPr>
        <w:t>decreased from $3.90 to $3</w:t>
      </w:r>
      <w:r w:rsidR="000F30B8">
        <w:rPr>
          <w:rFonts w:ascii="Times New Roman" w:hAnsi="Times New Roman" w:cs="Times New Roman"/>
          <w:sz w:val="24"/>
          <w:szCs w:val="24"/>
        </w:rPr>
        <w:t xml:space="preserve">.58 per share. This constitutes </w:t>
      </w:r>
      <w:r w:rsidR="00D12187">
        <w:rPr>
          <w:rFonts w:ascii="Times New Roman" w:hAnsi="Times New Roman" w:cs="Times New Roman"/>
          <w:sz w:val="24"/>
          <w:szCs w:val="24"/>
        </w:rPr>
        <w:t>an</w:t>
      </w:r>
      <w:r w:rsidR="000F30B8">
        <w:rPr>
          <w:rFonts w:ascii="Times New Roman" w:hAnsi="Times New Roman" w:cs="Times New Roman"/>
          <w:sz w:val="24"/>
          <w:szCs w:val="24"/>
        </w:rPr>
        <w:t xml:space="preserve"> </w:t>
      </w:r>
      <w:r w:rsidR="00D41DF8">
        <w:rPr>
          <w:rFonts w:ascii="Times New Roman" w:hAnsi="Times New Roman" w:cs="Times New Roman"/>
          <w:sz w:val="24"/>
          <w:szCs w:val="24"/>
        </w:rPr>
        <w:t>8.21% decrease in the price per share.</w:t>
      </w:r>
      <w:r w:rsidR="00EE6B96">
        <w:rPr>
          <w:rFonts w:ascii="Times New Roman" w:hAnsi="Times New Roman" w:cs="Times New Roman"/>
          <w:sz w:val="24"/>
          <w:szCs w:val="24"/>
        </w:rPr>
        <w:t xml:space="preserve"> </w:t>
      </w:r>
      <w:r w:rsidR="00CA603F">
        <w:rPr>
          <w:rFonts w:ascii="Times New Roman" w:hAnsi="Times New Roman" w:cs="Times New Roman"/>
          <w:sz w:val="24"/>
          <w:szCs w:val="24"/>
        </w:rPr>
        <w:t>Last 4 years have been financially difficult for RAD.</w:t>
      </w:r>
      <w:r w:rsidR="00555C9E">
        <w:rPr>
          <w:rFonts w:ascii="Times New Roman" w:hAnsi="Times New Roman" w:cs="Times New Roman"/>
          <w:sz w:val="24"/>
          <w:szCs w:val="24"/>
        </w:rPr>
        <w:t xml:space="preserve"> When other </w:t>
      </w:r>
      <w:r w:rsidR="00CF2CAB">
        <w:rPr>
          <w:rFonts w:ascii="Times New Roman" w:hAnsi="Times New Roman" w:cs="Times New Roman"/>
          <w:sz w:val="24"/>
          <w:szCs w:val="24"/>
        </w:rPr>
        <w:t>pharmaceuticals</w:t>
      </w:r>
      <w:r w:rsidR="00555C9E">
        <w:rPr>
          <w:rFonts w:ascii="Times New Roman" w:hAnsi="Times New Roman" w:cs="Times New Roman"/>
          <w:sz w:val="24"/>
          <w:szCs w:val="24"/>
        </w:rPr>
        <w:t xml:space="preserve"> have </w:t>
      </w:r>
      <w:r w:rsidR="00555C9E">
        <w:rPr>
          <w:rFonts w:ascii="Times New Roman" w:hAnsi="Times New Roman" w:cs="Times New Roman"/>
          <w:sz w:val="24"/>
          <w:szCs w:val="24"/>
        </w:rPr>
        <w:lastRenderedPageBreak/>
        <w:t xml:space="preserve">been relatively successful, according to </w:t>
      </w:r>
      <w:r w:rsidR="007D754C">
        <w:rPr>
          <w:rFonts w:ascii="Times New Roman" w:hAnsi="Times New Roman" w:cs="Times New Roman"/>
          <w:sz w:val="24"/>
          <w:szCs w:val="24"/>
        </w:rPr>
        <w:t xml:space="preserve">Simply Wall St, even with the 89% loss over the past 4 years they still have little </w:t>
      </w:r>
      <w:r w:rsidR="00860634">
        <w:rPr>
          <w:rFonts w:ascii="Times New Roman" w:hAnsi="Times New Roman" w:cs="Times New Roman"/>
          <w:sz w:val="24"/>
          <w:szCs w:val="24"/>
        </w:rPr>
        <w:t>hope that it can recover at all.</w:t>
      </w:r>
      <w:r w:rsidR="00CF2CAB">
        <w:rPr>
          <w:rFonts w:ascii="Times New Roman" w:hAnsi="Times New Roman" w:cs="Times New Roman"/>
          <w:sz w:val="24"/>
          <w:szCs w:val="24"/>
        </w:rPr>
        <w:t xml:space="preserve"> Their recommendation is to avoid RAD shares and pay attention to any future warnings and price decreases.</w:t>
      </w:r>
      <w:r w:rsidR="0082773E">
        <w:rPr>
          <w:rFonts w:ascii="Times New Roman" w:hAnsi="Times New Roman" w:cs="Times New Roman"/>
          <w:sz w:val="24"/>
          <w:szCs w:val="24"/>
        </w:rPr>
        <w:t xml:space="preserve"> (Simply Wall St</w:t>
      </w:r>
      <w:r w:rsidR="003265FB">
        <w:rPr>
          <w:rFonts w:ascii="Times New Roman" w:hAnsi="Times New Roman" w:cs="Times New Roman"/>
          <w:sz w:val="24"/>
          <w:szCs w:val="24"/>
        </w:rPr>
        <w:t>, 2023)</w:t>
      </w:r>
    </w:p>
    <w:p w14:paraId="1E0B5EB5" w14:textId="53138AF6" w:rsidR="009429ED" w:rsidRDefault="009429ED"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worst performing stock this week was </w:t>
      </w:r>
      <w:proofErr w:type="spellStart"/>
      <w:r>
        <w:rPr>
          <w:rFonts w:ascii="Times New Roman" w:hAnsi="Times New Roman" w:cs="Times New Roman"/>
          <w:sz w:val="24"/>
          <w:szCs w:val="24"/>
        </w:rPr>
        <w:t>ImmuCell</w:t>
      </w:r>
      <w:proofErr w:type="spellEnd"/>
      <w:r>
        <w:rPr>
          <w:rFonts w:ascii="Times New Roman" w:hAnsi="Times New Roman" w:cs="Times New Roman"/>
          <w:sz w:val="24"/>
          <w:szCs w:val="24"/>
        </w:rPr>
        <w:t xml:space="preserve"> Corporation (ICCC). ICCC closed the week </w:t>
      </w:r>
      <w:r w:rsidR="00D12187">
        <w:rPr>
          <w:rFonts w:ascii="Times New Roman" w:hAnsi="Times New Roman" w:cs="Times New Roman"/>
          <w:sz w:val="24"/>
          <w:szCs w:val="24"/>
        </w:rPr>
        <w:t xml:space="preserve">down 5.75% from the week prior. The price per share decreased from $6.26 to $5.9. </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w:t>
      </w:r>
      <w:proofErr w:type="spellStart"/>
      <w:r>
        <w:rPr>
          <w:rFonts w:ascii="Times New Roman" w:hAnsi="Times New Roman" w:cs="Times New Roman"/>
          <w:sz w:val="24"/>
          <w:szCs w:val="24"/>
        </w:rPr>
        <w:t>Husson</w:t>
      </w:r>
      <w:proofErr w:type="spellEnd"/>
      <w:r>
        <w:rPr>
          <w:rFonts w:ascii="Times New Roman" w:hAnsi="Times New Roman" w:cs="Times New Roman"/>
          <w:sz w:val="24"/>
          <w:szCs w:val="24"/>
        </w:rPr>
        <w:t xml:space="preserve"> University, in consultation with Associate Professor J. Douglas Wellington. The index is currently being tracked and analyzed by </w:t>
      </w:r>
      <w:proofErr w:type="spellStart"/>
      <w:r>
        <w:rPr>
          <w:rFonts w:ascii="Times New Roman" w:hAnsi="Times New Roman" w:cs="Times New Roman"/>
          <w:sz w:val="24"/>
          <w:szCs w:val="24"/>
        </w:rPr>
        <w:t>Husson</w:t>
      </w:r>
      <w:proofErr w:type="spellEnd"/>
      <w:r>
        <w:rPr>
          <w:rFonts w:ascii="Times New Roman" w:hAnsi="Times New Roman" w:cs="Times New Roman"/>
          <w:sz w:val="24"/>
          <w:szCs w:val="24"/>
        </w:rPr>
        <w:t xml:space="preserve">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5CBFE50D"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757D21A0" w14:textId="77777777" w:rsidR="002669BB" w:rsidRDefault="002669BB" w:rsidP="002669BB">
      <w:pPr>
        <w:pStyle w:val="NormalWeb"/>
        <w:spacing w:line="480" w:lineRule="auto"/>
        <w:ind w:left="567" w:hanging="567"/>
      </w:pPr>
      <w:r>
        <w:t xml:space="preserve">Business Insider. (2023, March 2). </w:t>
      </w:r>
      <w:r>
        <w:rPr>
          <w:i/>
          <w:iCs/>
        </w:rPr>
        <w:t>Valero Energy Corporation (VLO) is attracting investor attention: Here is what you should know</w:t>
      </w:r>
      <w:r>
        <w:t xml:space="preserve">. Business Insider. Retrieved March 3, 2023. </w:t>
      </w:r>
    </w:p>
    <w:p w14:paraId="5C7FFEBE" w14:textId="77777777" w:rsidR="002669BB" w:rsidRDefault="002669BB" w:rsidP="002669BB">
      <w:pPr>
        <w:pStyle w:val="NormalWeb"/>
        <w:spacing w:line="480" w:lineRule="auto"/>
        <w:ind w:left="567" w:hanging="567"/>
      </w:pPr>
      <w:r>
        <w:lastRenderedPageBreak/>
        <w:t xml:space="preserve">Yahoo! (2023, February 23). </w:t>
      </w:r>
      <w:r>
        <w:rPr>
          <w:i/>
          <w:iCs/>
        </w:rPr>
        <w:t>Investors in Rite Aid (NYSE:RAD) have unfortunately lost 89% over the last five years</w:t>
      </w:r>
      <w:r>
        <w:t xml:space="preserve">. Yahoo! Finance. Retrieved March 3, 2023. </w:t>
      </w:r>
    </w:p>
    <w:p w14:paraId="7E748D3A" w14:textId="77777777" w:rsidR="002669BB" w:rsidRDefault="002669BB" w:rsidP="002669BB">
      <w:pPr>
        <w:spacing w:line="480" w:lineRule="auto"/>
        <w:ind w:firstLine="720"/>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proofErr w:type="spellStart"/>
            <w:r>
              <w:rPr>
                <w:color w:val="000000"/>
              </w:rPr>
              <w:t>Avangrid</w:t>
            </w:r>
            <w:proofErr w:type="spellEnd"/>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lastRenderedPageBreak/>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lastRenderedPageBreak/>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7B4706B1" w:rsidR="002877E1" w:rsidRPr="002877E1" w:rsidRDefault="002877E1" w:rsidP="002877E1">
      <w:pPr>
        <w:spacing w:line="480" w:lineRule="auto"/>
        <w:rPr>
          <w:rFonts w:ascii="Times New Roman" w:hAnsi="Times New Roman" w:cs="Times New Roman"/>
          <w:sz w:val="24"/>
          <w:szCs w:val="24"/>
        </w:rPr>
      </w:pPr>
      <w:bookmarkStart w:id="0" w:name="_GoBack"/>
      <w:bookmarkEnd w:id="0"/>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032F29"/>
    <w:rsid w:val="00042885"/>
    <w:rsid w:val="00042DC2"/>
    <w:rsid w:val="00096BA4"/>
    <w:rsid w:val="000A3E4F"/>
    <w:rsid w:val="000B0D26"/>
    <w:rsid w:val="000B3FDB"/>
    <w:rsid w:val="000F2F75"/>
    <w:rsid w:val="000F30B8"/>
    <w:rsid w:val="00147EB7"/>
    <w:rsid w:val="001513DF"/>
    <w:rsid w:val="0015233A"/>
    <w:rsid w:val="001530E5"/>
    <w:rsid w:val="00182D70"/>
    <w:rsid w:val="001D382B"/>
    <w:rsid w:val="001E1584"/>
    <w:rsid w:val="001F6C1F"/>
    <w:rsid w:val="002564B2"/>
    <w:rsid w:val="002669BB"/>
    <w:rsid w:val="002772B4"/>
    <w:rsid w:val="002877E1"/>
    <w:rsid w:val="0029764C"/>
    <w:rsid w:val="002B1E7A"/>
    <w:rsid w:val="002F1CD8"/>
    <w:rsid w:val="00301F6A"/>
    <w:rsid w:val="00306491"/>
    <w:rsid w:val="00313812"/>
    <w:rsid w:val="00324BEB"/>
    <w:rsid w:val="003265FB"/>
    <w:rsid w:val="00393D40"/>
    <w:rsid w:val="003C6182"/>
    <w:rsid w:val="003F33AF"/>
    <w:rsid w:val="004016D4"/>
    <w:rsid w:val="004036D7"/>
    <w:rsid w:val="00433137"/>
    <w:rsid w:val="00445BBC"/>
    <w:rsid w:val="00460553"/>
    <w:rsid w:val="00461187"/>
    <w:rsid w:val="00475B22"/>
    <w:rsid w:val="004D24BD"/>
    <w:rsid w:val="004F66D6"/>
    <w:rsid w:val="00501EF6"/>
    <w:rsid w:val="0051748F"/>
    <w:rsid w:val="0054215A"/>
    <w:rsid w:val="00555C9E"/>
    <w:rsid w:val="005C4A3C"/>
    <w:rsid w:val="005D2DE8"/>
    <w:rsid w:val="005D7B6A"/>
    <w:rsid w:val="00615F91"/>
    <w:rsid w:val="00621D45"/>
    <w:rsid w:val="00626F0A"/>
    <w:rsid w:val="0065437C"/>
    <w:rsid w:val="00662343"/>
    <w:rsid w:val="00690F74"/>
    <w:rsid w:val="006D007F"/>
    <w:rsid w:val="006E480E"/>
    <w:rsid w:val="006F4818"/>
    <w:rsid w:val="007622EE"/>
    <w:rsid w:val="00770901"/>
    <w:rsid w:val="00783490"/>
    <w:rsid w:val="007A6DD0"/>
    <w:rsid w:val="007C7F8C"/>
    <w:rsid w:val="007D754C"/>
    <w:rsid w:val="00822BC8"/>
    <w:rsid w:val="00826A73"/>
    <w:rsid w:val="0082773E"/>
    <w:rsid w:val="008326EA"/>
    <w:rsid w:val="00860634"/>
    <w:rsid w:val="00871236"/>
    <w:rsid w:val="008D45C4"/>
    <w:rsid w:val="008E1D38"/>
    <w:rsid w:val="00916859"/>
    <w:rsid w:val="0092500C"/>
    <w:rsid w:val="00934655"/>
    <w:rsid w:val="009429ED"/>
    <w:rsid w:val="00947604"/>
    <w:rsid w:val="00954146"/>
    <w:rsid w:val="00965183"/>
    <w:rsid w:val="009909F3"/>
    <w:rsid w:val="009C3CAA"/>
    <w:rsid w:val="009D6373"/>
    <w:rsid w:val="00A2163E"/>
    <w:rsid w:val="00A7264C"/>
    <w:rsid w:val="00AA1ED2"/>
    <w:rsid w:val="00AA2883"/>
    <w:rsid w:val="00AA5AB2"/>
    <w:rsid w:val="00AB48B5"/>
    <w:rsid w:val="00B60CDE"/>
    <w:rsid w:val="00BD574B"/>
    <w:rsid w:val="00BE1E92"/>
    <w:rsid w:val="00BE639F"/>
    <w:rsid w:val="00C0499D"/>
    <w:rsid w:val="00C16D22"/>
    <w:rsid w:val="00C30CEC"/>
    <w:rsid w:val="00CA603F"/>
    <w:rsid w:val="00CC5216"/>
    <w:rsid w:val="00CF2CAB"/>
    <w:rsid w:val="00CF5D4F"/>
    <w:rsid w:val="00D12187"/>
    <w:rsid w:val="00D31AFA"/>
    <w:rsid w:val="00D41DF8"/>
    <w:rsid w:val="00D50CA3"/>
    <w:rsid w:val="00D60EE9"/>
    <w:rsid w:val="00DA6E02"/>
    <w:rsid w:val="00DC6CC3"/>
    <w:rsid w:val="00DE0389"/>
    <w:rsid w:val="00E47850"/>
    <w:rsid w:val="00E618B7"/>
    <w:rsid w:val="00E80208"/>
    <w:rsid w:val="00E9552F"/>
    <w:rsid w:val="00EE1843"/>
    <w:rsid w:val="00EE6B96"/>
    <w:rsid w:val="00F2553E"/>
    <w:rsid w:val="00F67C86"/>
    <w:rsid w:val="00F7327A"/>
    <w:rsid w:val="00F9036A"/>
    <w:rsid w:val="00FB04A3"/>
    <w:rsid w:val="00FE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
    <w:name w:val="Unresolved Mention"/>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9C3CAA"/>
    <w:rPr>
      <w:sz w:val="16"/>
      <w:szCs w:val="16"/>
    </w:rPr>
  </w:style>
  <w:style w:type="paragraph" w:styleId="CommentText">
    <w:name w:val="annotation text"/>
    <w:basedOn w:val="Normal"/>
    <w:link w:val="CommentTextChar"/>
    <w:uiPriority w:val="99"/>
    <w:semiHidden/>
    <w:unhideWhenUsed/>
    <w:rsid w:val="009C3CAA"/>
    <w:pPr>
      <w:spacing w:line="240" w:lineRule="auto"/>
    </w:pPr>
    <w:rPr>
      <w:sz w:val="20"/>
      <w:szCs w:val="20"/>
    </w:rPr>
  </w:style>
  <w:style w:type="character" w:customStyle="1" w:styleId="CommentTextChar">
    <w:name w:val="Comment Text Char"/>
    <w:basedOn w:val="DefaultParagraphFont"/>
    <w:link w:val="CommentText"/>
    <w:uiPriority w:val="99"/>
    <w:semiHidden/>
    <w:rsid w:val="009C3CAA"/>
    <w:rPr>
      <w:sz w:val="20"/>
      <w:szCs w:val="20"/>
    </w:rPr>
  </w:style>
  <w:style w:type="paragraph" w:styleId="CommentSubject">
    <w:name w:val="annotation subject"/>
    <w:basedOn w:val="CommentText"/>
    <w:next w:val="CommentText"/>
    <w:link w:val="CommentSubjectChar"/>
    <w:uiPriority w:val="99"/>
    <w:semiHidden/>
    <w:unhideWhenUsed/>
    <w:rsid w:val="009C3CAA"/>
    <w:rPr>
      <w:b/>
      <w:bCs/>
    </w:rPr>
  </w:style>
  <w:style w:type="character" w:customStyle="1" w:styleId="CommentSubjectChar">
    <w:name w:val="Comment Subject Char"/>
    <w:basedOn w:val="CommentTextChar"/>
    <w:link w:val="CommentSubject"/>
    <w:uiPriority w:val="99"/>
    <w:semiHidden/>
    <w:rsid w:val="009C3CAA"/>
    <w:rPr>
      <w:b/>
      <w:bCs/>
      <w:sz w:val="20"/>
      <w:szCs w:val="20"/>
    </w:rPr>
  </w:style>
  <w:style w:type="paragraph" w:styleId="BalloonText">
    <w:name w:val="Balloon Text"/>
    <w:basedOn w:val="Normal"/>
    <w:link w:val="BalloonTextChar"/>
    <w:uiPriority w:val="99"/>
    <w:semiHidden/>
    <w:unhideWhenUsed/>
    <w:rsid w:val="009C3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6</cp:revision>
  <dcterms:created xsi:type="dcterms:W3CDTF">2023-03-03T22:38:00Z</dcterms:created>
  <dcterms:modified xsi:type="dcterms:W3CDTF">2023-03-04T15:19:00Z</dcterms:modified>
</cp:coreProperties>
</file>