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6AE9" w14:textId="7486D049" w:rsidR="002C0492" w:rsidRPr="00DD6AFD" w:rsidRDefault="002C0492" w:rsidP="002C0492">
      <w:pPr>
        <w:jc w:val="center"/>
        <w:rPr>
          <w:b/>
          <w:bCs/>
        </w:rPr>
      </w:pPr>
      <w:r w:rsidRPr="00DD6AFD">
        <w:rPr>
          <w:b/>
          <w:bCs/>
        </w:rPr>
        <w:t>Husson Stock Index</w:t>
      </w:r>
    </w:p>
    <w:p w14:paraId="72F16DD6" w14:textId="330FAB8C" w:rsidR="002C0492" w:rsidRPr="00DD6AFD" w:rsidRDefault="002C0492" w:rsidP="002C0492">
      <w:pPr>
        <w:jc w:val="center"/>
        <w:rPr>
          <w:b/>
          <w:bCs/>
        </w:rPr>
      </w:pPr>
    </w:p>
    <w:p w14:paraId="7B34D69F" w14:textId="41DF9D51" w:rsidR="002C0492" w:rsidRPr="00DD6AFD" w:rsidRDefault="002C0492" w:rsidP="002C0492">
      <w:pPr>
        <w:jc w:val="center"/>
        <w:rPr>
          <w:b/>
          <w:bCs/>
        </w:rPr>
      </w:pPr>
      <w:r w:rsidRPr="00DD6AFD">
        <w:rPr>
          <w:b/>
          <w:bCs/>
        </w:rPr>
        <w:t xml:space="preserve">Week Ended September </w:t>
      </w:r>
      <w:r w:rsidR="00CD21FF">
        <w:rPr>
          <w:b/>
          <w:bCs/>
        </w:rPr>
        <w:t>15</w:t>
      </w:r>
      <w:r w:rsidRPr="00DD6AFD">
        <w:rPr>
          <w:b/>
          <w:bCs/>
        </w:rPr>
        <w:t>, 2023</w:t>
      </w:r>
    </w:p>
    <w:p w14:paraId="3BD7A3B4" w14:textId="5AB00535" w:rsidR="002C0492" w:rsidRDefault="002C0492" w:rsidP="002C0492">
      <w:pPr>
        <w:jc w:val="center"/>
      </w:pPr>
    </w:p>
    <w:p w14:paraId="0F254B3C" w14:textId="78D9E1BD" w:rsidR="00CD21FF" w:rsidRDefault="002C0492" w:rsidP="00CD21FF">
      <w:pPr>
        <w:spacing w:line="480" w:lineRule="auto"/>
      </w:pPr>
      <w:r>
        <w:tab/>
      </w:r>
      <w:r w:rsidR="00CD21FF">
        <w:t>For the week ending September 15, 2023, the Husson Stock Index (HSI) has ended the</w:t>
      </w:r>
    </w:p>
    <w:p w14:paraId="24C3E4E3" w14:textId="00306C79" w:rsidR="00CD21FF" w:rsidRDefault="00CD21FF" w:rsidP="00CD21FF">
      <w:pPr>
        <w:spacing w:line="480" w:lineRule="auto"/>
      </w:pPr>
      <w:r>
        <w:t>week at 212.14</w:t>
      </w:r>
      <w:r w:rsidR="003A37A2">
        <w:rPr>
          <w:rFonts w:ascii="Microsoft YaHei" w:eastAsia="Microsoft YaHei" w:hAnsi="Microsoft YaHei" w:cs="Microsoft YaHei" w:hint="eastAsia"/>
          <w:lang w:eastAsia="zh-CN"/>
        </w:rPr>
        <w:t>,</w:t>
      </w:r>
      <w:r w:rsidR="003A37A2">
        <w:rPr>
          <w:rFonts w:ascii="Microsoft YaHei" w:eastAsia="Microsoft YaHei" w:hAnsi="Microsoft YaHei" w:cs="Microsoft YaHei"/>
          <w:lang w:eastAsia="zh-CN"/>
        </w:rPr>
        <w:t xml:space="preserve"> </w:t>
      </w:r>
      <w:r>
        <w:t xml:space="preserve">a 0.02% increase from last week. </w:t>
      </w:r>
      <w:r w:rsidR="003A37A2">
        <w:t>Similarly,</w:t>
      </w:r>
      <w:r>
        <w:t xml:space="preserve"> the Dow Jones Industrial</w:t>
      </w:r>
    </w:p>
    <w:p w14:paraId="48C827C2" w14:textId="5CBE14E1" w:rsidR="00CD21FF" w:rsidRDefault="00CD21FF" w:rsidP="00CD21FF">
      <w:pPr>
        <w:spacing w:line="480" w:lineRule="auto"/>
      </w:pPr>
      <w:r>
        <w:t xml:space="preserve">Average (DJIA) </w:t>
      </w:r>
      <w:r w:rsidR="00B40BBC">
        <w:t xml:space="preserve">saw a 0.12% </w:t>
      </w:r>
      <w:r w:rsidR="003A37A2">
        <w:t>i</w:t>
      </w:r>
      <w:r w:rsidR="00B40BBC">
        <w:t>ncrease this week</w:t>
      </w:r>
      <w:r>
        <w:t xml:space="preserve">. </w:t>
      </w:r>
      <w:r w:rsidR="00B40BBC">
        <w:t xml:space="preserve">On the other hand, </w:t>
      </w:r>
      <w:r>
        <w:t xml:space="preserve">the S&amp;P 500 </w:t>
      </w:r>
      <w:r w:rsidR="00B40BBC">
        <w:t>saw a 0.16% decrease</w:t>
      </w:r>
      <w:r>
        <w:t>. Year to date, the HSI has seen a 5.4</w:t>
      </w:r>
      <w:r w:rsidR="00B40BBC">
        <w:t>8</w:t>
      </w:r>
      <w:r>
        <w:t>% increase, while the DJIA is up 4.</w:t>
      </w:r>
      <w:r w:rsidR="00B40BBC">
        <w:t>44</w:t>
      </w:r>
      <w:r>
        <w:t>%</w:t>
      </w:r>
      <w:r w:rsidR="00B40BBC">
        <w:t xml:space="preserve"> </w:t>
      </w:r>
      <w:r>
        <w:t>this year and the S&amp;P 500 is up 1</w:t>
      </w:r>
      <w:r w:rsidR="00B40BBC">
        <w:t>5.91</w:t>
      </w:r>
      <w:r>
        <w:t>%.</w:t>
      </w:r>
    </w:p>
    <w:p w14:paraId="469AA8AD" w14:textId="13405B08" w:rsidR="00243D04" w:rsidRPr="00DD6AFD" w:rsidRDefault="00243D04" w:rsidP="00243D04">
      <w:pPr>
        <w:jc w:val="center"/>
        <w:rPr>
          <w:b/>
          <w:bCs/>
        </w:rPr>
      </w:pPr>
      <w:r w:rsidRPr="00DD6AFD">
        <w:rPr>
          <w:b/>
          <w:bCs/>
        </w:rPr>
        <w:t>Summary</w:t>
      </w:r>
    </w:p>
    <w:p w14:paraId="26F0F648" w14:textId="052500BA" w:rsidR="00243D04" w:rsidRDefault="00243D04" w:rsidP="00243D04">
      <w:pPr>
        <w:jc w:val="center"/>
      </w:pPr>
    </w:p>
    <w:p w14:paraId="1D59C6EB" w14:textId="0333DB0D" w:rsidR="00B40BBC" w:rsidRDefault="00243D04" w:rsidP="00B40BBC">
      <w:pPr>
        <w:spacing w:line="480" w:lineRule="auto"/>
      </w:pPr>
      <w:r>
        <w:tab/>
      </w:r>
      <w:r w:rsidR="00B40BBC">
        <w:t xml:space="preserve">For the week ending September </w:t>
      </w:r>
      <w:r w:rsidR="003A37A2">
        <w:t>15</w:t>
      </w:r>
      <w:r w:rsidR="00B40BBC">
        <w:t>, 2023, the stock with the largest percentage increase</w:t>
      </w:r>
    </w:p>
    <w:p w14:paraId="2F0B62C9" w14:textId="73C0D517" w:rsidR="00B40BBC" w:rsidRDefault="00B40BBC" w:rsidP="00DD6AFD">
      <w:pPr>
        <w:spacing w:line="480" w:lineRule="auto"/>
      </w:pPr>
      <w:r>
        <w:t xml:space="preserve">was ImmuCell Corporation (ICCC). ICCC saw a 15.77% increase or a </w:t>
      </w:r>
      <w:r w:rsidR="003A37A2">
        <w:t>$</w:t>
      </w:r>
      <w:r>
        <w:t xml:space="preserve">0.73 increase per share, </w:t>
      </w:r>
      <w:r w:rsidR="003A37A2">
        <w:t xml:space="preserve">rising </w:t>
      </w:r>
      <w:r>
        <w:t xml:space="preserve">from $4.63 to $5.36. ICCC is an animal health company that creates and develops products that enhance the health of dairy and beef cattle in the United States. This past week, the company accomplished a goal of submitting </w:t>
      </w:r>
      <w:r w:rsidR="003A37A2">
        <w:t>the Chemistry, M</w:t>
      </w:r>
      <w:r>
        <w:t xml:space="preserve">anufacturing and </w:t>
      </w:r>
      <w:r w:rsidR="003A37A2">
        <w:t>C</w:t>
      </w:r>
      <w:r>
        <w:t xml:space="preserve">ontrols (CMC) </w:t>
      </w:r>
      <w:r w:rsidR="003A37A2">
        <w:t>T</w:t>
      </w:r>
      <w:r>
        <w:t xml:space="preserve">echnical </w:t>
      </w:r>
      <w:r w:rsidR="003A37A2">
        <w:t>S</w:t>
      </w:r>
      <w:r>
        <w:t>ection</w:t>
      </w:r>
      <w:r w:rsidR="00E104CC">
        <w:t xml:space="preserve"> </w:t>
      </w:r>
      <w:r>
        <w:t>to the FDA</w:t>
      </w:r>
      <w:r w:rsidR="00E104CC">
        <w:t xml:space="preserve"> for their new product called Re-</w:t>
      </w:r>
      <w:proofErr w:type="spellStart"/>
      <w:r w:rsidR="00E104CC">
        <w:t>Tain</w:t>
      </w:r>
      <w:proofErr w:type="spellEnd"/>
      <w:r>
        <w:t xml:space="preserve">. Their CEO recently released the following statement: </w:t>
      </w:r>
      <w:r w:rsidRPr="00B40BBC">
        <w:rPr>
          <w:rFonts w:cstheme="minorHAnsi"/>
          <w:color w:val="000000" w:themeColor="text1"/>
          <w:shd w:val="clear" w:color="auto" w:fill="FFFFFF"/>
        </w:rPr>
        <w:t>“For the benefit of clarity, we want to inform investors that this important step in the regulatory process was taken on August 18, 2023”</w:t>
      </w:r>
      <w:r>
        <w:rPr>
          <w:rFonts w:cstheme="minorHAnsi"/>
          <w:color w:val="000000" w:themeColor="text1"/>
          <w:shd w:val="clear" w:color="auto" w:fill="FFFFFF"/>
        </w:rPr>
        <w:t xml:space="preserve">. This </w:t>
      </w:r>
      <w:r w:rsidR="00E104CC">
        <w:rPr>
          <w:rFonts w:cstheme="minorHAnsi"/>
          <w:color w:val="000000" w:themeColor="text1"/>
          <w:shd w:val="clear" w:color="auto" w:fill="FFFFFF"/>
        </w:rPr>
        <w:t>i</w:t>
      </w:r>
      <w:r>
        <w:rPr>
          <w:rFonts w:cstheme="minorHAnsi"/>
          <w:color w:val="000000" w:themeColor="text1"/>
          <w:shd w:val="clear" w:color="auto" w:fill="FFFFFF"/>
        </w:rPr>
        <w:t>s a potential reason why the stock saw such a great return this week.</w:t>
      </w:r>
      <w:r w:rsidRPr="00B40BBC">
        <w:t xml:space="preserve"> The stock with the second largest percentage increase was</w:t>
      </w:r>
      <w:r>
        <w:t xml:space="preserve"> Penn National Gamming (PENN). PENN saw a 6.19% increase or a $1.37 increase per share, </w:t>
      </w:r>
      <w:r w:rsidR="00E104CC">
        <w:t xml:space="preserve">rising </w:t>
      </w:r>
      <w:r>
        <w:t>from $22.15 to $23.52</w:t>
      </w:r>
      <w:r w:rsidR="00B17473">
        <w:t>.</w:t>
      </w:r>
    </w:p>
    <w:p w14:paraId="0E69F827" w14:textId="7E2822B9" w:rsidR="00E104CC" w:rsidRDefault="00A04A5E" w:rsidP="00B40BBC">
      <w:pPr>
        <w:spacing w:line="480" w:lineRule="auto"/>
      </w:pPr>
      <w:r>
        <w:tab/>
      </w:r>
      <w:r w:rsidR="00B40BBC">
        <w:t>The stock with the worst performance this week was Raytheon Technologies Corporation (RTX)</w:t>
      </w:r>
      <w:r w:rsidR="00E104CC">
        <w:t>, with</w:t>
      </w:r>
      <w:r w:rsidR="00B40BBC">
        <w:t xml:space="preserve"> a 15.00% decrease. Th</w:t>
      </w:r>
      <w:r w:rsidR="00E104CC">
        <w:t>is is</w:t>
      </w:r>
      <w:r w:rsidR="00B40BBC">
        <w:t xml:space="preserve"> a </w:t>
      </w:r>
      <w:r w:rsidR="00B17473">
        <w:t>$</w:t>
      </w:r>
      <w:r w:rsidR="00B40BBC">
        <w:t xml:space="preserve">12.52 decrease in share price from $83.48 to $70.96. RTX is a company that manufactures aircraft engines, guided missiles, air defense </w:t>
      </w:r>
      <w:r w:rsidR="00B40BBC">
        <w:lastRenderedPageBreak/>
        <w:t xml:space="preserve">systems, and other aero space products. The company largely sells their products to the United States Government. This year, the company discovered a rare condition in their powdered metal that is used on the turbine discs of their engine. This condition has caused the company to remove 200 GTF engines for inspection and expect to inspect nearly 1,000 more between 2023 and 2024. This delay has lowered the company's 2023 cash flow by $500 million.  </w:t>
      </w:r>
    </w:p>
    <w:p w14:paraId="0685F3C1" w14:textId="5FCCB79E" w:rsidR="00A04A5E" w:rsidRDefault="00E104CC" w:rsidP="00B40BBC">
      <w:pPr>
        <w:spacing w:line="480" w:lineRule="auto"/>
      </w:pPr>
      <w:r>
        <w:t xml:space="preserve">            </w:t>
      </w:r>
      <w:r w:rsidR="00B40BBC">
        <w:t>The stock with the second worst performance this week was Lowes with a 4.87% decrease in stock price from $231.29 to $220.02.</w:t>
      </w:r>
    </w:p>
    <w:p w14:paraId="458F369E" w14:textId="33E4A110" w:rsidR="00A04A5E" w:rsidRDefault="00A04A5E" w:rsidP="00243D04"/>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1A49A7D7" w14:textId="77777777" w:rsidR="00B40BBC" w:rsidRDefault="00DD6AFD" w:rsidP="00B40BBC">
      <w:pPr>
        <w:spacing w:line="480" w:lineRule="auto"/>
      </w:pPr>
      <w:r>
        <w:tab/>
      </w:r>
      <w:r w:rsidR="00B40BBC">
        <w:t>The HSI was developed by Marie Kenney, while a student at Husson University, in</w:t>
      </w:r>
    </w:p>
    <w:p w14:paraId="16B8AA11" w14:textId="77777777" w:rsidR="00B40BBC" w:rsidRDefault="00B40BBC" w:rsidP="00B40BBC">
      <w:pPr>
        <w:spacing w:line="480" w:lineRule="auto"/>
      </w:pPr>
      <w:r>
        <w:t>consultation with Associate Professor J. Douglas Wellington. The index is currently being</w:t>
      </w:r>
    </w:p>
    <w:p w14:paraId="4561022D" w14:textId="77777777" w:rsidR="00B40BBC" w:rsidRDefault="00B40BBC" w:rsidP="00B40BBC">
      <w:pPr>
        <w:spacing w:line="480" w:lineRule="auto"/>
      </w:pPr>
      <w:r>
        <w:t>tracked and analyzed by Husson student Parker Deprey under the supervision of Associate</w:t>
      </w:r>
    </w:p>
    <w:p w14:paraId="1C27CD38" w14:textId="2A1FA222" w:rsidR="00CB10F2" w:rsidRDefault="00B40BBC" w:rsidP="00B40BBC">
      <w:pPr>
        <w:spacing w:line="480" w:lineRule="auto"/>
      </w:pPr>
      <w:r>
        <w:t xml:space="preserve">Professor of Finance Dr. Jia Liu. The HSI currently tracks and analyzes the stocks of 27 companies that are considered to </w:t>
      </w:r>
      <w:r w:rsidR="00B17473">
        <w:t>affect</w:t>
      </w:r>
      <w:r>
        <w:t xml:space="preserve"> the Maine economy. These companies are either based in Maine or have an influence on the Maine economy through employment or consumer spending. This price-weighted index offers a numerical breakdown of Maine’s economy. The analysis </w:t>
      </w:r>
      <w:r w:rsidR="00B17473">
        <w:t>investigates</w:t>
      </w:r>
      <w:r>
        <w:t xml:space="preserve">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A167F8C" w14:textId="061FC3BD" w:rsidR="00CB10F2" w:rsidRDefault="00CB10F2" w:rsidP="00CB10F2">
      <w:pPr>
        <w:spacing w:line="480" w:lineRule="auto"/>
        <w:jc w:val="center"/>
      </w:pPr>
    </w:p>
    <w:p w14:paraId="0BA4D246" w14:textId="2C7B34FD" w:rsidR="00CB10F2" w:rsidRPr="00B40BBC" w:rsidRDefault="00B40BBC" w:rsidP="00CB10F2">
      <w:pPr>
        <w:spacing w:line="480" w:lineRule="auto"/>
        <w:jc w:val="center"/>
        <w:rPr>
          <w:i/>
          <w:iCs/>
        </w:rPr>
      </w:pPr>
      <w:r w:rsidRPr="00B40BBC">
        <w:rPr>
          <w:i/>
          <w:iCs/>
        </w:rPr>
        <w:t>References</w:t>
      </w:r>
    </w:p>
    <w:p w14:paraId="4365FFBC" w14:textId="5BB9D11E" w:rsidR="00C03087" w:rsidRDefault="00C03087" w:rsidP="00C03087">
      <w:pPr>
        <w:pStyle w:val="NormalWeb"/>
        <w:ind w:left="567" w:hanging="567"/>
        <w:jc w:val="center"/>
        <w:rPr>
          <w:rFonts w:asciiTheme="minorHAnsi" w:hAnsiTheme="minorHAnsi" w:cstheme="minorHAnsi"/>
          <w:i/>
          <w:iCs/>
        </w:rPr>
      </w:pPr>
      <w:r w:rsidRPr="00C03087">
        <w:rPr>
          <w:rFonts w:asciiTheme="minorHAnsi" w:hAnsiTheme="minorHAnsi" w:cstheme="minorHAnsi"/>
          <w:i/>
          <w:iCs/>
        </w:rPr>
        <w:t xml:space="preserve">Samaha, L. (2023, September 16). RTX sell-off: Time to buy the </w:t>
      </w:r>
      <w:proofErr w:type="gramStart"/>
      <w:r w:rsidRPr="00C03087">
        <w:rPr>
          <w:rFonts w:asciiTheme="minorHAnsi" w:hAnsiTheme="minorHAnsi" w:cstheme="minorHAnsi"/>
          <w:i/>
          <w:iCs/>
        </w:rPr>
        <w:t>dip?.</w:t>
      </w:r>
      <w:proofErr w:type="gramEnd"/>
      <w:r w:rsidRPr="00C03087">
        <w:rPr>
          <w:rFonts w:asciiTheme="minorHAnsi" w:hAnsiTheme="minorHAnsi" w:cstheme="minorHAnsi"/>
          <w:i/>
          <w:iCs/>
        </w:rPr>
        <w:t xml:space="preserve"> The Motley Fool. </w:t>
      </w:r>
      <w:hyperlink r:id="rId4" w:history="1">
        <w:r w:rsidRPr="00C03087">
          <w:rPr>
            <w:rStyle w:val="Hyperlink"/>
            <w:rFonts w:asciiTheme="minorHAnsi" w:hAnsiTheme="minorHAnsi" w:cstheme="minorHAnsi"/>
            <w:i/>
            <w:iCs/>
            <w:color w:val="000000" w:themeColor="text1"/>
          </w:rPr>
          <w:t>https://www.fool.com/investing/2023/09/16/rtx-sell-off-time-to-buy-the-dip/</w:t>
        </w:r>
      </w:hyperlink>
    </w:p>
    <w:p w14:paraId="5F368555" w14:textId="1A9BC05B" w:rsidR="00C03087" w:rsidRPr="00B17473" w:rsidRDefault="00C03087" w:rsidP="00B17473">
      <w:pPr>
        <w:pStyle w:val="NormalWeb"/>
        <w:ind w:left="567" w:hanging="567"/>
        <w:jc w:val="center"/>
        <w:rPr>
          <w:rFonts w:asciiTheme="minorHAnsi" w:hAnsiTheme="minorHAnsi" w:cstheme="minorHAnsi"/>
          <w:i/>
          <w:iCs/>
          <w:color w:val="000000" w:themeColor="text1"/>
        </w:rPr>
      </w:pPr>
      <w:r w:rsidRPr="00C03087">
        <w:rPr>
          <w:rFonts w:asciiTheme="minorHAnsi" w:hAnsiTheme="minorHAnsi" w:cstheme="minorHAnsi"/>
          <w:i/>
          <w:iCs/>
          <w:color w:val="000000" w:themeColor="text1"/>
        </w:rPr>
        <w:lastRenderedPageBreak/>
        <w:t xml:space="preserve">Yahoo! (2023, September 16). ImmuCell Corporation (ICCC) stock price, news, Quote &amp; History. Yahoo! Finance. </w:t>
      </w:r>
      <w:hyperlink r:id="rId5" w:history="1">
        <w:r w:rsidRPr="00C03087">
          <w:rPr>
            <w:rStyle w:val="Hyperlink"/>
            <w:rFonts w:asciiTheme="minorHAnsi" w:hAnsiTheme="minorHAnsi" w:cstheme="minorHAnsi"/>
            <w:i/>
            <w:iCs/>
            <w:color w:val="000000" w:themeColor="text1"/>
          </w:rPr>
          <w:t>https://finance.yahoo.com/quote/ICCC?p=ICCC&amp;.tsrc=fin-srch</w:t>
        </w:r>
      </w:hyperlink>
    </w:p>
    <w:p w14:paraId="0495E163" w14:textId="77777777" w:rsidR="00B40BBC" w:rsidRDefault="00B40BBC" w:rsidP="00CB10F2">
      <w:pPr>
        <w:spacing w:line="480" w:lineRule="auto"/>
        <w:jc w:val="center"/>
      </w:pPr>
    </w:p>
    <w:p w14:paraId="67C40A35" w14:textId="66C877E1" w:rsidR="00CB10F2" w:rsidRDefault="00CB10F2" w:rsidP="00CB10F2">
      <w:pPr>
        <w:spacing w:line="480" w:lineRule="auto"/>
        <w:jc w:val="center"/>
      </w:pPr>
    </w:p>
    <w:p w14:paraId="6485CCDD" w14:textId="77777777" w:rsidR="00CB10F2" w:rsidRDefault="00CB10F2" w:rsidP="00CB10F2">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lastRenderedPageBreak/>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lastRenderedPageBreak/>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7E8D164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6B0E9E" w14:textId="77777777" w:rsidR="00CB10F2" w:rsidRDefault="00CB10F2" w:rsidP="00C34B83">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1CA93A" w14:textId="77777777" w:rsidR="00CB10F2" w:rsidRDefault="00CB10F2" w:rsidP="00C34B83">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94EA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E73946" w14:textId="77777777" w:rsidR="00CB10F2" w:rsidRDefault="00CB10F2" w:rsidP="00C34B83">
            <w:pPr>
              <w:spacing w:before="80" w:after="80" w:line="480" w:lineRule="auto"/>
            </w:pPr>
            <w:r>
              <w:rPr>
                <w:color w:val="000000"/>
              </w:rPr>
              <w:t>Consumer Staples</w:t>
            </w:r>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243D04"/>
    <w:rsid w:val="002C0492"/>
    <w:rsid w:val="003A37A2"/>
    <w:rsid w:val="003F5842"/>
    <w:rsid w:val="00664E47"/>
    <w:rsid w:val="006B4DDE"/>
    <w:rsid w:val="00A04A5E"/>
    <w:rsid w:val="00A73CA6"/>
    <w:rsid w:val="00B17473"/>
    <w:rsid w:val="00B40BBC"/>
    <w:rsid w:val="00C03087"/>
    <w:rsid w:val="00CB10F2"/>
    <w:rsid w:val="00CD21FF"/>
    <w:rsid w:val="00DD6AFD"/>
    <w:rsid w:val="00E1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semiHidden/>
    <w:unhideWhenUsed/>
    <w:rsid w:val="00CB10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3087"/>
    <w:rPr>
      <w:color w:val="0563C1" w:themeColor="hyperlink"/>
      <w:u w:val="single"/>
    </w:rPr>
  </w:style>
  <w:style w:type="character" w:styleId="UnresolvedMention">
    <w:name w:val="Unresolved Mention"/>
    <w:basedOn w:val="DefaultParagraphFont"/>
    <w:uiPriority w:val="99"/>
    <w:semiHidden/>
    <w:unhideWhenUsed/>
    <w:rsid w:val="00C03087"/>
    <w:rPr>
      <w:color w:val="605E5C"/>
      <w:shd w:val="clear" w:color="auto" w:fill="E1DFDD"/>
    </w:rPr>
  </w:style>
  <w:style w:type="paragraph" w:styleId="Revision">
    <w:name w:val="Revision"/>
    <w:hidden/>
    <w:uiPriority w:val="99"/>
    <w:semiHidden/>
    <w:rsid w:val="003A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02450">
      <w:bodyDiv w:val="1"/>
      <w:marLeft w:val="0"/>
      <w:marRight w:val="0"/>
      <w:marTop w:val="0"/>
      <w:marBottom w:val="0"/>
      <w:divBdr>
        <w:top w:val="none" w:sz="0" w:space="0" w:color="auto"/>
        <w:left w:val="none" w:sz="0" w:space="0" w:color="auto"/>
        <w:bottom w:val="none" w:sz="0" w:space="0" w:color="auto"/>
        <w:right w:val="none" w:sz="0" w:space="0" w:color="auto"/>
      </w:divBdr>
    </w:div>
    <w:div w:id="12444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quote/ICCC?p=ICCC&amp;.tsrc=fin-srch" TargetMode="External"/><Relationship Id="rId4" Type="http://schemas.openxmlformats.org/officeDocument/2006/relationships/hyperlink" Target="https://www.fool.com/investing/2023/09/16/rtx-sell-off-time-to-buy-the-d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14</cp:revision>
  <dcterms:created xsi:type="dcterms:W3CDTF">2023-09-16T15:09:00Z</dcterms:created>
  <dcterms:modified xsi:type="dcterms:W3CDTF">2023-09-17T15:24:00Z</dcterms:modified>
</cp:coreProperties>
</file>