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B4852" w14:textId="77777777" w:rsidR="008A5A21" w:rsidRDefault="00000000">
      <w:pPr>
        <w:jc w:val="center"/>
        <w:rPr>
          <w:rFonts w:ascii="Times New Roman" w:eastAsia="Times New Roman" w:hAnsi="Times New Roman" w:cs="Times New Roman"/>
          <w:b/>
        </w:rPr>
      </w:pPr>
      <w:r>
        <w:rPr>
          <w:rFonts w:ascii="Times New Roman" w:eastAsia="Times New Roman" w:hAnsi="Times New Roman" w:cs="Times New Roman"/>
          <w:b/>
        </w:rPr>
        <w:t>Husson Stock Index</w:t>
      </w:r>
    </w:p>
    <w:p w14:paraId="07522545" w14:textId="77777777" w:rsidR="008A5A2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756C735F" w14:textId="77777777" w:rsidR="008A5A21" w:rsidRDefault="00000000">
      <w:pPr>
        <w:jc w:val="center"/>
        <w:rPr>
          <w:rFonts w:ascii="Times New Roman" w:eastAsia="Times New Roman" w:hAnsi="Times New Roman" w:cs="Times New Roman"/>
          <w:b/>
        </w:rPr>
      </w:pPr>
      <w:r>
        <w:rPr>
          <w:rFonts w:ascii="Times New Roman" w:eastAsia="Times New Roman" w:hAnsi="Times New Roman" w:cs="Times New Roman"/>
          <w:b/>
        </w:rPr>
        <w:t>Week ended Friday, November 7th, 2025</w:t>
      </w:r>
    </w:p>
    <w:p w14:paraId="5C930343" w14:textId="77777777" w:rsidR="008A5A2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0EF11602" w14:textId="4363F8BF" w:rsidR="008A5A21"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For the week ending November 7th, 2025, the Husson Stock Index (HSI) closed at 251.08, reflecting a 1.87% increase from the previous week and </w:t>
      </w:r>
      <w:r w:rsidR="000103A6">
        <w:rPr>
          <w:rFonts w:ascii="Times New Roman" w:eastAsia="Times New Roman" w:hAnsi="Times New Roman" w:cs="Times New Roman"/>
        </w:rPr>
        <w:t>an</w:t>
      </w:r>
      <w:r>
        <w:rPr>
          <w:rFonts w:ascii="Times New Roman" w:eastAsia="Times New Roman" w:hAnsi="Times New Roman" w:cs="Times New Roman"/>
        </w:rPr>
        <w:t xml:space="preserve"> 8.56% increase year to date. The S&amp;P 500 decreased 1.63% over the week but it is up 14.40% year</w:t>
      </w:r>
      <w:r w:rsidR="00F13EC8">
        <w:rPr>
          <w:rFonts w:ascii="Times New Roman" w:eastAsia="Times New Roman" w:hAnsi="Times New Roman" w:cs="Times New Roman"/>
        </w:rPr>
        <w:t xml:space="preserve"> </w:t>
      </w:r>
      <w:r>
        <w:rPr>
          <w:rFonts w:ascii="Times New Roman" w:eastAsia="Times New Roman" w:hAnsi="Times New Roman" w:cs="Times New Roman"/>
        </w:rPr>
        <w:t>to</w:t>
      </w:r>
      <w:r w:rsidR="00F13EC8">
        <w:rPr>
          <w:rFonts w:ascii="Times New Roman" w:eastAsia="Times New Roman" w:hAnsi="Times New Roman" w:cs="Times New Roman"/>
        </w:rPr>
        <w:t xml:space="preserve"> </w:t>
      </w:r>
      <w:r>
        <w:rPr>
          <w:rFonts w:ascii="Times New Roman" w:eastAsia="Times New Roman" w:hAnsi="Times New Roman" w:cs="Times New Roman"/>
        </w:rPr>
        <w:t>date. Similarly, the Dow Jones Industrial Average (DJIA) decreased 1.21% for the week, with a year-to-date of 10.44%.</w:t>
      </w:r>
    </w:p>
    <w:p w14:paraId="51E5F715" w14:textId="77777777" w:rsidR="008A5A21" w:rsidRDefault="008A5A21">
      <w:pPr>
        <w:rPr>
          <w:rFonts w:ascii="Times New Roman" w:eastAsia="Times New Roman" w:hAnsi="Times New Roman" w:cs="Times New Roman"/>
        </w:rPr>
      </w:pPr>
    </w:p>
    <w:p w14:paraId="7E44CED8" w14:textId="77777777" w:rsidR="008A5A21" w:rsidRDefault="00000000">
      <w:pPr>
        <w:jc w:val="center"/>
        <w:rPr>
          <w:rFonts w:ascii="Times New Roman" w:eastAsia="Times New Roman" w:hAnsi="Times New Roman" w:cs="Times New Roman"/>
          <w:b/>
        </w:rPr>
      </w:pPr>
      <w:r>
        <w:rPr>
          <w:rFonts w:ascii="Times New Roman" w:eastAsia="Times New Roman" w:hAnsi="Times New Roman" w:cs="Times New Roman"/>
          <w:b/>
        </w:rPr>
        <w:t>Summary</w:t>
      </w:r>
    </w:p>
    <w:p w14:paraId="30C03C17" w14:textId="77777777" w:rsidR="008A5A21" w:rsidRDefault="008A5A21">
      <w:pPr>
        <w:rPr>
          <w:rFonts w:ascii="Times New Roman" w:eastAsia="Times New Roman" w:hAnsi="Times New Roman" w:cs="Times New Roman"/>
          <w:b/>
        </w:rPr>
      </w:pPr>
    </w:p>
    <w:p w14:paraId="59CE0F5A" w14:textId="77777777" w:rsidR="008A5A21" w:rsidRPr="00222346" w:rsidRDefault="00000000">
      <w:pPr>
        <w:ind w:firstLine="720"/>
        <w:rPr>
          <w:rFonts w:ascii="Times New Roman" w:eastAsia="Times New Roman" w:hAnsi="Times New Roman" w:cs="Times New Roman"/>
        </w:rPr>
      </w:pPr>
      <w:r w:rsidRPr="00222346">
        <w:rPr>
          <w:rFonts w:ascii="Times New Roman" w:eastAsia="Times New Roman" w:hAnsi="Times New Roman" w:cs="Times New Roman"/>
        </w:rPr>
        <w:t>IDEXX Laboratories led the index this week with a 12.54% gain. On Monday, November 3rd, the company released its third-quarter results, which showed strong financial performance. Revenue increased about 13% to approximately $1.105 billion, while earnings per share (EPS) rose about 21% to $3.40. Much of this growth was driven by IDEXX’s Companion Animal Group, which produces and distributes products and services for pets, including vaccines, diagnostic tests, and veterinary software. Revenue in this segment grew roughly 14%, supported by higher sales of routine diagnostic tests and the adoption of new diagnostic equipment by veterinary clinics. Other business segments also contributed to the company’s strong performance. The livestock, poultry, and dairy segment grew about 17%, reflecting solid demand for products that support animal health and productivity in farming operations. Meanwhile, the water-testing business, which provides solutions for detecting contaminants in water, expanded by approximately 8%, showing steady growth in environmental services. In addition, the company improved its profit margins, earning more profit on each dollar of sales. Because of these results, IDEXX raised its outlook for the full year 2025, signaling confidence in continued growth. Overall, the company had a very strong quarter, primarily driven by its pet-related business, while other segments also contributed to the overall growth.</w:t>
      </w:r>
    </w:p>
    <w:p w14:paraId="512FD718" w14:textId="77777777" w:rsidR="008A5A21" w:rsidRDefault="008A5A21">
      <w:pPr>
        <w:rPr>
          <w:rFonts w:ascii="Times New Roman" w:eastAsia="Times New Roman" w:hAnsi="Times New Roman" w:cs="Times New Roman"/>
        </w:rPr>
      </w:pPr>
    </w:p>
    <w:p w14:paraId="335BA709" w14:textId="6D4A9F3C" w:rsidR="008A5A21" w:rsidRDefault="00000000">
      <w:pPr>
        <w:ind w:firstLine="720"/>
        <w:rPr>
          <w:rFonts w:ascii="Times New Roman" w:eastAsia="Times New Roman" w:hAnsi="Times New Roman" w:cs="Times New Roman"/>
        </w:rPr>
      </w:pPr>
      <w:r>
        <w:rPr>
          <w:rFonts w:ascii="Times New Roman" w:eastAsia="Times New Roman" w:hAnsi="Times New Roman" w:cs="Times New Roman"/>
        </w:rPr>
        <w:t>Unum Group posted a 6.44% gain, ranking itself as the second best performer in the index. Third quarter results</w:t>
      </w:r>
      <w:r w:rsidR="00F13EC8">
        <w:rPr>
          <w:rFonts w:ascii="Times New Roman" w:eastAsia="Times New Roman" w:hAnsi="Times New Roman" w:cs="Times New Roman"/>
        </w:rPr>
        <w:t>,</w:t>
      </w:r>
      <w:r>
        <w:rPr>
          <w:rFonts w:ascii="Times New Roman" w:eastAsia="Times New Roman" w:hAnsi="Times New Roman" w:cs="Times New Roman"/>
        </w:rPr>
        <w:t xml:space="preserve"> also released on November 3rd, show a total revenue of approximately $3.38 billion, up from $3.22 billion in the same quarter last year, indicating steady growth in its core operations. Its main business segments, including Unum US, Unum International, and Colonial Life, continue to perform as expected, showing that the company is running smoothly and managing its operations effectively. Unum also maintains a strong financial foundation, with about $2 billion in liquidity and a risk-based capital ratio well above target levels. This strong capital position ensures that the company can meet its obligations to customers and shareholders and handle unexpected challenges, reflecting careful and responsible management. However, not all aspects of the results were positive. The company continues to face challenges from its legacy business, particularly long-term care insurance. These older policies have proven more costly than initially expected, requiring Unum to set aside an additional $377.8 million in reserves to cover future claims. Higher claim payouts and expenses in these legacy operations contributed to lower net income, which came in at $39.7 million, below analysts’ expectations. Despite these challenges, adjusted operating income was $357.1 million showing that the company’s everyday business continues to generate steady income. Overall, while legacy costs are affecting profitability, Unum’s main insurance operations remain stable, and its strong capital position provides confidence in the company’s long term stability.</w:t>
      </w:r>
    </w:p>
    <w:p w14:paraId="5E23CCA6" w14:textId="77777777" w:rsidR="008A5A21" w:rsidRDefault="008A5A21">
      <w:pPr>
        <w:rPr>
          <w:rFonts w:ascii="Times New Roman" w:eastAsia="Times New Roman" w:hAnsi="Times New Roman" w:cs="Times New Roman"/>
        </w:rPr>
      </w:pPr>
    </w:p>
    <w:p w14:paraId="1E6EE7FB" w14:textId="6089F3AC" w:rsidR="008A5A21" w:rsidRDefault="00000000">
      <w:pPr>
        <w:ind w:firstLine="720"/>
        <w:rPr>
          <w:rFonts w:ascii="Times New Roman" w:eastAsia="Times New Roman" w:hAnsi="Times New Roman" w:cs="Times New Roman"/>
        </w:rPr>
      </w:pPr>
      <w:r>
        <w:rPr>
          <w:rFonts w:ascii="Times New Roman" w:eastAsia="Times New Roman" w:hAnsi="Times New Roman" w:cs="Times New Roman"/>
        </w:rPr>
        <w:t>PENN Entertainment (PENN) declined 11.66% this week</w:t>
      </w:r>
      <w:r w:rsidR="00F13EC8">
        <w:rPr>
          <w:rFonts w:ascii="Times New Roman" w:eastAsia="Times New Roman" w:hAnsi="Times New Roman" w:cs="Times New Roman"/>
        </w:rPr>
        <w:t>,</w:t>
      </w:r>
      <w:r>
        <w:rPr>
          <w:rFonts w:ascii="Times New Roman" w:eastAsia="Times New Roman" w:hAnsi="Times New Roman" w:cs="Times New Roman"/>
        </w:rPr>
        <w:t xml:space="preserve"> ranking as the worst performer in the index. Recently, PENN ended its partnership with ESPN for the ESPN Bet online sportsbook. This deal promised big marketing support and a strong brand, but PENN only captured about 3% of the U.S. market, much less than expected. Because of this, the company decided to stop the partnership and focus on its own brands, like </w:t>
      </w:r>
      <w:proofErr w:type="spellStart"/>
      <w:r>
        <w:rPr>
          <w:rFonts w:ascii="Times New Roman" w:eastAsia="Times New Roman" w:hAnsi="Times New Roman" w:cs="Times New Roman"/>
        </w:rPr>
        <w:t>theScore</w:t>
      </w:r>
      <w:proofErr w:type="spellEnd"/>
      <w:r>
        <w:rPr>
          <w:rFonts w:ascii="Times New Roman" w:eastAsia="Times New Roman" w:hAnsi="Times New Roman" w:cs="Times New Roman"/>
        </w:rPr>
        <w:t xml:space="preserve"> Bet, which it already owns in Canada. The new plan will focus on online casino games and marketing that is based on performance, which should make more profit. Financial results are mixed. PENN’s casinos are doing well, with higher revenue and profits. But the online business is still losing money. For example, in the third quarter of 2025, online revenue was nearly $300 million, but the loss was about $77 million. The company also reported a big overall loss because of an accounting charge from ending the ESPN deal. PENN is taking steps to improve its finances. It bought back some of its debt, which will lower future interest costs and reduce the risk of stock dilution. The company also improved its compliance team and addressed regulatory issues in Massachusetts and Ontario, where it had received fines. Analysts have mixed views about PENN’s future. Some think the online casino focus could increase profits, while others worry about continued losses and whether </w:t>
      </w:r>
      <w:proofErr w:type="spellStart"/>
      <w:r>
        <w:rPr>
          <w:rFonts w:ascii="Times New Roman" w:eastAsia="Times New Roman" w:hAnsi="Times New Roman" w:cs="Times New Roman"/>
        </w:rPr>
        <w:t>theScore</w:t>
      </w:r>
      <w:proofErr w:type="spellEnd"/>
      <w:r>
        <w:rPr>
          <w:rFonts w:ascii="Times New Roman" w:eastAsia="Times New Roman" w:hAnsi="Times New Roman" w:cs="Times New Roman"/>
        </w:rPr>
        <w:t xml:space="preserve"> Bet will succeed. The main question is whether PENN can make its online business profitable while keeping its casinos strong.</w:t>
      </w:r>
    </w:p>
    <w:p w14:paraId="1FC63C56" w14:textId="62CBB78E" w:rsidR="008A5A21" w:rsidRDefault="00000000">
      <w:pPr>
        <w:spacing w:before="240" w:after="240"/>
        <w:ind w:firstLine="720"/>
        <w:rPr>
          <w:rFonts w:ascii="Times New Roman" w:eastAsia="Times New Roman" w:hAnsi="Times New Roman" w:cs="Times New Roman"/>
        </w:rPr>
      </w:pPr>
      <w:r>
        <w:rPr>
          <w:rFonts w:ascii="Times New Roman" w:eastAsia="Times New Roman" w:hAnsi="Times New Roman" w:cs="Times New Roman"/>
        </w:rPr>
        <w:t xml:space="preserve">Charter Communications was the second-worst performer in the index, dropping 5.98%. The company has recently been in the news for both good and bad reasons. One of its biggest successes is its fiber broadband network, which now covers over one million miles. This shows that Charter is investing in strong infrastructure, which could help it compete with other internet providers in the future. Another positive is that Charter’s mobile business is growing. In the third quarter, revenue from mobile services went up by nearly 20%, helping to make up for losses in other areas. Charter is also moving ahead with a planned merger with Cox Communications. If it goes through, the company could become bigger and stronger, but the deal also faces challenges, like getting approval from regulators </w:t>
      </w:r>
      <w:r w:rsidR="00F13EC8">
        <w:rPr>
          <w:rFonts w:ascii="Times New Roman" w:eastAsia="Times New Roman" w:hAnsi="Times New Roman" w:cs="Times New Roman"/>
        </w:rPr>
        <w:t xml:space="preserve">in </w:t>
      </w:r>
      <w:r>
        <w:rPr>
          <w:rFonts w:ascii="Times New Roman" w:eastAsia="Times New Roman" w:hAnsi="Times New Roman" w:cs="Times New Roman"/>
        </w:rPr>
        <w:t>combining the two companies. However, Charter has problems</w:t>
      </w:r>
      <w:r w:rsidR="008C4423">
        <w:rPr>
          <w:rFonts w:ascii="Times New Roman" w:eastAsia="Times New Roman" w:hAnsi="Times New Roman" w:cs="Times New Roman"/>
        </w:rPr>
        <w:t>,</w:t>
      </w:r>
      <w:r>
        <w:rPr>
          <w:rFonts w:ascii="Times New Roman" w:eastAsia="Times New Roman" w:hAnsi="Times New Roman" w:cs="Times New Roman"/>
        </w:rPr>
        <w:t xml:space="preserve"> too. Its internet and cable TV customers are dropping. In the third quarter, the company lost about 109,000 internet customers and 70,000 cable TV customers. Overall, the number of customer accounts fell by about 2% compared to last year. Revenue went down slightly, and net income dropped by over 11%. Analysts have noticed these trends, and some have downgraded Charter’s stock because they are worried about future growth. In short, Charter Communications is in a time of change. Its growing mobile business and fiber network are promising, but declining subscribers and lower revenue are challenges. </w:t>
      </w:r>
    </w:p>
    <w:p w14:paraId="130572E8" w14:textId="77777777" w:rsidR="008A5A21" w:rsidRDefault="008A5A21">
      <w:pPr>
        <w:rPr>
          <w:rFonts w:ascii="Times New Roman" w:eastAsia="Times New Roman" w:hAnsi="Times New Roman" w:cs="Times New Roman"/>
        </w:rPr>
      </w:pPr>
    </w:p>
    <w:p w14:paraId="5315E295" w14:textId="77777777" w:rsidR="008A5A21" w:rsidRDefault="008A5A21">
      <w:pPr>
        <w:rPr>
          <w:rFonts w:ascii="Times New Roman" w:eastAsia="Times New Roman" w:hAnsi="Times New Roman" w:cs="Times New Roman"/>
        </w:rPr>
      </w:pPr>
    </w:p>
    <w:p w14:paraId="09A23FBB" w14:textId="77777777" w:rsidR="008A5A21" w:rsidRDefault="008A5A21">
      <w:pPr>
        <w:rPr>
          <w:rFonts w:ascii="Times New Roman" w:eastAsia="Times New Roman" w:hAnsi="Times New Roman" w:cs="Times New Roman"/>
        </w:rPr>
      </w:pPr>
    </w:p>
    <w:p w14:paraId="307394FE" w14:textId="77777777" w:rsidR="008A5A21" w:rsidRDefault="008A5A21">
      <w:pPr>
        <w:rPr>
          <w:rFonts w:ascii="Times New Roman" w:eastAsia="Times New Roman" w:hAnsi="Times New Roman" w:cs="Times New Roman"/>
        </w:rPr>
      </w:pPr>
    </w:p>
    <w:p w14:paraId="5D27A69E" w14:textId="77777777" w:rsidR="008A5A21" w:rsidRDefault="008A5A21">
      <w:pPr>
        <w:rPr>
          <w:rFonts w:ascii="Times New Roman" w:eastAsia="Times New Roman" w:hAnsi="Times New Roman" w:cs="Times New Roman"/>
        </w:rPr>
      </w:pPr>
    </w:p>
    <w:p w14:paraId="552FED23" w14:textId="77777777" w:rsidR="008A5A21" w:rsidRDefault="008A5A21">
      <w:pPr>
        <w:rPr>
          <w:rFonts w:ascii="Times New Roman" w:eastAsia="Times New Roman" w:hAnsi="Times New Roman" w:cs="Times New Roman"/>
        </w:rPr>
      </w:pPr>
    </w:p>
    <w:p w14:paraId="2AA94D94" w14:textId="77777777" w:rsidR="008A5A21" w:rsidRDefault="008A5A21">
      <w:pPr>
        <w:rPr>
          <w:rFonts w:ascii="Times New Roman" w:eastAsia="Times New Roman" w:hAnsi="Times New Roman" w:cs="Times New Roman"/>
        </w:rPr>
      </w:pPr>
    </w:p>
    <w:p w14:paraId="3C11F5E4" w14:textId="77777777" w:rsidR="008A5A21" w:rsidRDefault="008A5A21">
      <w:pPr>
        <w:rPr>
          <w:rFonts w:ascii="Times New Roman" w:eastAsia="Times New Roman" w:hAnsi="Times New Roman" w:cs="Times New Roman"/>
        </w:rPr>
      </w:pPr>
    </w:p>
    <w:p w14:paraId="1812FE7A" w14:textId="77777777" w:rsidR="008A5A21" w:rsidRDefault="008A5A21">
      <w:pPr>
        <w:rPr>
          <w:rFonts w:ascii="Times New Roman" w:eastAsia="Times New Roman" w:hAnsi="Times New Roman" w:cs="Times New Roman"/>
        </w:rPr>
      </w:pPr>
    </w:p>
    <w:p w14:paraId="2BB94F36" w14:textId="77777777" w:rsidR="008A5A21" w:rsidRDefault="008A5A21">
      <w:pPr>
        <w:rPr>
          <w:rFonts w:ascii="Times New Roman" w:eastAsia="Times New Roman" w:hAnsi="Times New Roman" w:cs="Times New Roman"/>
        </w:rPr>
      </w:pPr>
    </w:p>
    <w:p w14:paraId="3E02B14C" w14:textId="77777777" w:rsidR="008A5A21" w:rsidRDefault="008A5A21">
      <w:pPr>
        <w:rPr>
          <w:rFonts w:ascii="Times New Roman" w:eastAsia="Times New Roman" w:hAnsi="Times New Roman" w:cs="Times New Roman"/>
        </w:rPr>
      </w:pPr>
    </w:p>
    <w:p w14:paraId="0858771F" w14:textId="77777777" w:rsidR="008A5A21" w:rsidRDefault="008A5A21">
      <w:pPr>
        <w:rPr>
          <w:rFonts w:ascii="Times New Roman" w:eastAsia="Times New Roman" w:hAnsi="Times New Roman" w:cs="Times New Roman"/>
        </w:rPr>
      </w:pPr>
    </w:p>
    <w:p w14:paraId="44DE90D1" w14:textId="77777777" w:rsidR="008A5A21" w:rsidRDefault="00000000">
      <w:pPr>
        <w:jc w:val="center"/>
        <w:rPr>
          <w:rFonts w:ascii="Times New Roman" w:eastAsia="Times New Roman" w:hAnsi="Times New Roman" w:cs="Times New Roman"/>
          <w:b/>
        </w:rPr>
      </w:pPr>
      <w:r>
        <w:rPr>
          <w:rFonts w:ascii="Times New Roman" w:eastAsia="Times New Roman" w:hAnsi="Times New Roman" w:cs="Times New Roman"/>
          <w:b/>
        </w:rPr>
        <w:t>Overview</w:t>
      </w:r>
    </w:p>
    <w:p w14:paraId="29667061" w14:textId="77777777" w:rsidR="008A5A21" w:rsidRDefault="008A5A21">
      <w:pPr>
        <w:rPr>
          <w:rFonts w:ascii="Times New Roman" w:eastAsia="Times New Roman" w:hAnsi="Times New Roman" w:cs="Times New Roman"/>
          <w:b/>
        </w:rPr>
      </w:pPr>
    </w:p>
    <w:p w14:paraId="59F1F388" w14:textId="77777777" w:rsidR="008A5A21" w:rsidRDefault="00000000">
      <w:pPr>
        <w:ind w:firstLine="720"/>
        <w:rPr>
          <w:rFonts w:ascii="Times New Roman" w:eastAsia="Times New Roman" w:hAnsi="Times New Roman" w:cs="Times New Roman"/>
        </w:rPr>
      </w:pPr>
      <w:r>
        <w:rPr>
          <w:rFonts w:ascii="Times New Roman" w:eastAsia="Times New Roman" w:hAnsi="Times New Roman" w:cs="Times New Roman"/>
        </w:rPr>
        <w:t>The HSI was developed by Marie Kenney, while a student at Husson University, in</w:t>
      </w:r>
    </w:p>
    <w:p w14:paraId="32188E63" w14:textId="77777777" w:rsidR="008A5A21" w:rsidRDefault="00000000">
      <w:pPr>
        <w:rPr>
          <w:rFonts w:ascii="Times New Roman" w:eastAsia="Times New Roman" w:hAnsi="Times New Roman" w:cs="Times New Roman"/>
        </w:rPr>
      </w:pPr>
      <w:r>
        <w:rPr>
          <w:rFonts w:ascii="Times New Roman" w:eastAsia="Times New Roman" w:hAnsi="Times New Roman" w:cs="Times New Roman"/>
        </w:rPr>
        <w:t>consultation with Associate Professor J. Douglas Wellington. The index is currently being</w:t>
      </w:r>
    </w:p>
    <w:p w14:paraId="731B279B" w14:textId="3C4DBF0B" w:rsidR="008A5A21" w:rsidRDefault="00000000">
      <w:pPr>
        <w:rPr>
          <w:rFonts w:ascii="Times New Roman" w:eastAsia="Times New Roman" w:hAnsi="Times New Roman" w:cs="Times New Roman"/>
        </w:rPr>
      </w:pPr>
      <w:r>
        <w:rPr>
          <w:rFonts w:ascii="Times New Roman" w:eastAsia="Times New Roman" w:hAnsi="Times New Roman" w:cs="Times New Roman"/>
        </w:rPr>
        <w:t xml:space="preserve">tracked and analyzed by Husson students Ray </w:t>
      </w:r>
      <w:proofErr w:type="spellStart"/>
      <w:r>
        <w:rPr>
          <w:rFonts w:ascii="Times New Roman" w:eastAsia="Times New Roman" w:hAnsi="Times New Roman" w:cs="Times New Roman"/>
        </w:rPr>
        <w:t>Intwari</w:t>
      </w:r>
      <w:proofErr w:type="spellEnd"/>
      <w:r>
        <w:rPr>
          <w:rFonts w:ascii="Times New Roman" w:eastAsia="Times New Roman" w:hAnsi="Times New Roman" w:cs="Times New Roman"/>
        </w:rPr>
        <w:t xml:space="preserve"> and Hugh Jack under the supervision of the Associate Professor of Finance, Dr. Jia Liu. The HSI currently tracks and analyzes the stocks of 2</w:t>
      </w:r>
      <w:r w:rsidR="008C4423">
        <w:rPr>
          <w:rFonts w:ascii="Times New Roman" w:eastAsia="Times New Roman" w:hAnsi="Times New Roman" w:cs="Times New Roman"/>
        </w:rPr>
        <w:t>4</w:t>
      </w:r>
      <w:r>
        <w:rPr>
          <w:rFonts w:ascii="Times New Roman" w:eastAsia="Times New Roman" w:hAnsi="Times New Roman" w:cs="Times New Roman"/>
        </w:rPr>
        <w:t xml:space="preserve">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p>
    <w:p w14:paraId="54A6F0F1" w14:textId="77777777" w:rsidR="00222346" w:rsidRDefault="00222346">
      <w:pPr>
        <w:rPr>
          <w:rFonts w:ascii="Times New Roman" w:eastAsia="Times New Roman" w:hAnsi="Times New Roman" w:cs="Times New Roman"/>
        </w:rPr>
      </w:pPr>
    </w:p>
    <w:p w14:paraId="08058B2A" w14:textId="77777777" w:rsidR="00222346" w:rsidRDefault="00222346">
      <w:pPr>
        <w:rPr>
          <w:rFonts w:ascii="Times New Roman" w:eastAsia="Times New Roman" w:hAnsi="Times New Roman" w:cs="Times New Roman"/>
        </w:rPr>
      </w:pPr>
    </w:p>
    <w:p w14:paraId="5E93A63F" w14:textId="77777777" w:rsidR="00222346" w:rsidRDefault="00222346">
      <w:pPr>
        <w:rPr>
          <w:rFonts w:ascii="Times New Roman" w:eastAsia="Times New Roman" w:hAnsi="Times New Roman" w:cs="Times New Roman"/>
        </w:rPr>
      </w:pPr>
    </w:p>
    <w:p w14:paraId="73CB55A0" w14:textId="77777777" w:rsidR="008A5A2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AA0BFC1" w14:textId="77777777" w:rsidR="008A5A21" w:rsidRDefault="00000000">
      <w:pPr>
        <w:jc w:val="center"/>
        <w:rPr>
          <w:rFonts w:ascii="Times New Roman" w:eastAsia="Times New Roman" w:hAnsi="Times New Roman" w:cs="Times New Roman"/>
          <w:b/>
        </w:rPr>
      </w:pPr>
      <w:r>
        <w:rPr>
          <w:rFonts w:ascii="Times New Roman" w:eastAsia="Times New Roman" w:hAnsi="Times New Roman" w:cs="Times New Roman"/>
          <w:b/>
        </w:rPr>
        <w:t>References:</w:t>
      </w:r>
    </w:p>
    <w:p w14:paraId="63E926DA" w14:textId="77777777" w:rsidR="008A5A21" w:rsidRDefault="008A5A21">
      <w:pPr>
        <w:jc w:val="center"/>
        <w:rPr>
          <w:rFonts w:ascii="Times New Roman" w:eastAsia="Times New Roman" w:hAnsi="Times New Roman" w:cs="Times New Roman"/>
          <w:b/>
        </w:rPr>
      </w:pPr>
    </w:p>
    <w:p w14:paraId="02846DF0" w14:textId="77777777" w:rsidR="008A5A21" w:rsidRDefault="00000000">
      <w:pPr>
        <w:rPr>
          <w:rFonts w:ascii="Times New Roman" w:eastAsia="Times New Roman" w:hAnsi="Times New Roman" w:cs="Times New Roman"/>
        </w:rPr>
      </w:pPr>
      <w:r>
        <w:rPr>
          <w:rFonts w:ascii="Times New Roman" w:eastAsia="Times New Roman" w:hAnsi="Times New Roman" w:cs="Times New Roman"/>
        </w:rPr>
        <w:t xml:space="preserve">Investor’s Business Daily. (2025, November 3). How </w:t>
      </w:r>
      <w:proofErr w:type="spellStart"/>
      <w:r>
        <w:rPr>
          <w:rFonts w:ascii="Times New Roman" w:eastAsia="Times New Roman" w:hAnsi="Times New Roman" w:cs="Times New Roman"/>
        </w:rPr>
        <w:t>Idexx</w:t>
      </w:r>
      <w:proofErr w:type="spellEnd"/>
      <w:r>
        <w:rPr>
          <w:rFonts w:ascii="Times New Roman" w:eastAsia="Times New Roman" w:hAnsi="Times New Roman" w:cs="Times New Roman"/>
        </w:rPr>
        <w:t xml:space="preserve"> Laboratories business shook off bears and hit a record. Investors.com.</w:t>
      </w:r>
      <w:hyperlink r:id="rId4">
        <w:r w:rsidR="008A5A21">
          <w:rPr>
            <w:rFonts w:ascii="Times New Roman" w:eastAsia="Times New Roman" w:hAnsi="Times New Roman" w:cs="Times New Roman"/>
            <w:color w:val="1155CC"/>
            <w:u w:val="single"/>
          </w:rPr>
          <w:t xml:space="preserve"> </w:t>
        </w:r>
      </w:hyperlink>
      <w:hyperlink r:id="rId5">
        <w:r w:rsidR="008A5A21">
          <w:rPr>
            <w:rFonts w:ascii="Times New Roman" w:eastAsia="Times New Roman" w:hAnsi="Times New Roman" w:cs="Times New Roman"/>
            <w:color w:val="1155CC"/>
            <w:u w:val="single"/>
          </w:rPr>
          <w:t>https://www.investors.com/news/technology/idexx-laboratories-idexx-stock-earnings-q3-2025/</w:t>
        </w:r>
      </w:hyperlink>
    </w:p>
    <w:p w14:paraId="2D7A4384" w14:textId="77777777" w:rsidR="008A5A21" w:rsidRDefault="008A5A21">
      <w:pPr>
        <w:rPr>
          <w:rFonts w:ascii="Times New Roman" w:eastAsia="Times New Roman" w:hAnsi="Times New Roman" w:cs="Times New Roman"/>
        </w:rPr>
      </w:pPr>
    </w:p>
    <w:p w14:paraId="467CE2B1" w14:textId="77777777" w:rsidR="008A5A21" w:rsidRDefault="00000000">
      <w:pPr>
        <w:rPr>
          <w:rFonts w:ascii="Times New Roman" w:eastAsia="Times New Roman" w:hAnsi="Times New Roman" w:cs="Times New Roman"/>
        </w:rPr>
      </w:pPr>
      <w:r>
        <w:rPr>
          <w:rFonts w:ascii="Times New Roman" w:eastAsia="Times New Roman" w:hAnsi="Times New Roman" w:cs="Times New Roman"/>
        </w:rPr>
        <w:t xml:space="preserve">Tangerine Tan Capital. (2025, November 3). IDEXX Laboratories: A strong third quarter with good </w:t>
      </w:r>
      <w:proofErr w:type="gramStart"/>
      <w:r>
        <w:rPr>
          <w:rFonts w:ascii="Times New Roman" w:eastAsia="Times New Roman" w:hAnsi="Times New Roman" w:cs="Times New Roman"/>
        </w:rPr>
        <w:t>future prospects</w:t>
      </w:r>
      <w:proofErr w:type="gramEnd"/>
      <w:r>
        <w:rPr>
          <w:rFonts w:ascii="Times New Roman" w:eastAsia="Times New Roman" w:hAnsi="Times New Roman" w:cs="Times New Roman"/>
        </w:rPr>
        <w:t>. Seeking Alpha.</w:t>
      </w:r>
      <w:hyperlink r:id="rId6">
        <w:r w:rsidR="008A5A21">
          <w:rPr>
            <w:rFonts w:ascii="Times New Roman" w:eastAsia="Times New Roman" w:hAnsi="Times New Roman" w:cs="Times New Roman"/>
            <w:color w:val="1155CC"/>
            <w:u w:val="single"/>
          </w:rPr>
          <w:t xml:space="preserve"> https://seekingalpha.com/article/4837273-idexx-laboratories-a-strong-third-quarter-with-good-future-prospects</w:t>
        </w:r>
      </w:hyperlink>
    </w:p>
    <w:p w14:paraId="40117293" w14:textId="77777777" w:rsidR="008A5A21" w:rsidRDefault="008A5A21">
      <w:pPr>
        <w:rPr>
          <w:rFonts w:ascii="Times New Roman" w:eastAsia="Times New Roman" w:hAnsi="Times New Roman" w:cs="Times New Roman"/>
        </w:rPr>
      </w:pPr>
    </w:p>
    <w:p w14:paraId="786535CF" w14:textId="77777777" w:rsidR="008A5A21" w:rsidRDefault="00000000">
      <w:pPr>
        <w:rPr>
          <w:rFonts w:ascii="Times New Roman" w:eastAsia="Times New Roman" w:hAnsi="Times New Roman" w:cs="Times New Roman"/>
        </w:rPr>
      </w:pPr>
      <w:r>
        <w:rPr>
          <w:rFonts w:ascii="Times New Roman" w:eastAsia="Times New Roman" w:hAnsi="Times New Roman" w:cs="Times New Roman"/>
        </w:rPr>
        <w:t>Yahoo Finance. (2025, November 3). Unum Group (</w:t>
      </w:r>
      <w:proofErr w:type="gramStart"/>
      <w:r>
        <w:rPr>
          <w:rFonts w:ascii="Times New Roman" w:eastAsia="Times New Roman" w:hAnsi="Times New Roman" w:cs="Times New Roman"/>
        </w:rPr>
        <w:t>NYSE :</w:t>
      </w:r>
      <w:proofErr w:type="gramEnd"/>
      <w:r>
        <w:rPr>
          <w:rFonts w:ascii="Times New Roman" w:eastAsia="Times New Roman" w:hAnsi="Times New Roman" w:cs="Times New Roman"/>
        </w:rPr>
        <w:t> UNM) Q3 earnings: Shares drop as profits miss despite revenue beat. Yahoo Finance.</w:t>
      </w:r>
      <w:hyperlink r:id="rId7">
        <w:r w:rsidR="008A5A21">
          <w:rPr>
            <w:rFonts w:ascii="Times New Roman" w:eastAsia="Times New Roman" w:hAnsi="Times New Roman" w:cs="Times New Roman"/>
            <w:color w:val="1155CC"/>
            <w:u w:val="single"/>
          </w:rPr>
          <w:t xml:space="preserve"> https://finance.yahoo.com/news/unum-group-nyse-unm-q3-214213580.html</w:t>
        </w:r>
      </w:hyperlink>
    </w:p>
    <w:p w14:paraId="5DCE402E" w14:textId="77777777" w:rsidR="008A5A21" w:rsidRDefault="008A5A21">
      <w:pPr>
        <w:rPr>
          <w:rFonts w:ascii="Times New Roman" w:eastAsia="Times New Roman" w:hAnsi="Times New Roman" w:cs="Times New Roman"/>
        </w:rPr>
      </w:pPr>
    </w:p>
    <w:p w14:paraId="4C8119D3" w14:textId="77777777" w:rsidR="008A5A21" w:rsidRDefault="00000000">
      <w:pPr>
        <w:rPr>
          <w:rFonts w:ascii="Times New Roman" w:eastAsia="Times New Roman" w:hAnsi="Times New Roman" w:cs="Times New Roman"/>
        </w:rPr>
      </w:pPr>
      <w:r>
        <w:rPr>
          <w:rFonts w:ascii="Times New Roman" w:eastAsia="Times New Roman" w:hAnsi="Times New Roman" w:cs="Times New Roman"/>
        </w:rPr>
        <w:t>Unum Group. (2025, November 3). Unum Group reports third‑quarter 2025 results. Business Wire.</w:t>
      </w:r>
      <w:hyperlink r:id="rId8">
        <w:r w:rsidR="008A5A21">
          <w:rPr>
            <w:rFonts w:ascii="Times New Roman" w:eastAsia="Times New Roman" w:hAnsi="Times New Roman" w:cs="Times New Roman"/>
            <w:color w:val="1155CC"/>
            <w:u w:val="single"/>
          </w:rPr>
          <w:t xml:space="preserve"> </w:t>
        </w:r>
      </w:hyperlink>
      <w:hyperlink r:id="rId9">
        <w:r w:rsidR="008A5A21">
          <w:rPr>
            <w:rFonts w:ascii="Times New Roman" w:eastAsia="Times New Roman" w:hAnsi="Times New Roman" w:cs="Times New Roman"/>
            <w:color w:val="1155CC"/>
            <w:u w:val="single"/>
          </w:rPr>
          <w:t>https://www.businesswire.com/news/home/20251103779309/en/Unum-Group-Reports-Third-Quarter-2025-Results</w:t>
        </w:r>
      </w:hyperlink>
    </w:p>
    <w:p w14:paraId="0FC889D3" w14:textId="77777777" w:rsidR="008A5A21" w:rsidRDefault="008A5A21">
      <w:pPr>
        <w:rPr>
          <w:rFonts w:ascii="Times New Roman" w:eastAsia="Times New Roman" w:hAnsi="Times New Roman" w:cs="Times New Roman"/>
        </w:rPr>
      </w:pPr>
    </w:p>
    <w:p w14:paraId="1B5C12C9" w14:textId="77777777" w:rsidR="008A5A21" w:rsidRDefault="00000000">
      <w:pPr>
        <w:rPr>
          <w:rFonts w:ascii="Times New Roman" w:eastAsia="Times New Roman" w:hAnsi="Times New Roman" w:cs="Times New Roman"/>
        </w:rPr>
      </w:pPr>
      <w:r>
        <w:rPr>
          <w:rFonts w:ascii="Times New Roman" w:eastAsia="Times New Roman" w:hAnsi="Times New Roman" w:cs="Times New Roman"/>
        </w:rPr>
        <w:t>Fox Business. (2025, November 6). ESPN, Penn Entertainment end sports betting partnership early: Shock announcement. Fox Business.</w:t>
      </w:r>
      <w:hyperlink r:id="rId10">
        <w:r w:rsidR="008A5A21">
          <w:rPr>
            <w:rFonts w:ascii="Times New Roman" w:eastAsia="Times New Roman" w:hAnsi="Times New Roman" w:cs="Times New Roman"/>
            <w:color w:val="1155CC"/>
            <w:u w:val="single"/>
          </w:rPr>
          <w:t xml:space="preserve"> https://www.foxbusiness.com/sports/espn-penn-entertainment-end-sports-betting-partnership-early-shock-announcement</w:t>
        </w:r>
      </w:hyperlink>
    </w:p>
    <w:p w14:paraId="36496629" w14:textId="77777777" w:rsidR="008A5A21" w:rsidRDefault="008A5A21">
      <w:pPr>
        <w:rPr>
          <w:rFonts w:ascii="Times New Roman" w:eastAsia="Times New Roman" w:hAnsi="Times New Roman" w:cs="Times New Roman"/>
        </w:rPr>
      </w:pPr>
    </w:p>
    <w:p w14:paraId="38E11520" w14:textId="77777777" w:rsidR="008A5A21" w:rsidRDefault="00000000">
      <w:pPr>
        <w:rPr>
          <w:rFonts w:ascii="Times New Roman" w:eastAsia="Times New Roman" w:hAnsi="Times New Roman" w:cs="Times New Roman"/>
        </w:rPr>
      </w:pPr>
      <w:r>
        <w:rPr>
          <w:rFonts w:ascii="Times New Roman" w:eastAsia="Times New Roman" w:hAnsi="Times New Roman" w:cs="Times New Roman"/>
        </w:rPr>
        <w:t>Schott, P. (2025, November 4). Amid layoffs, CT‑based Charter Communications reports customer declines. CT Insider.</w:t>
      </w:r>
      <w:hyperlink r:id="rId11">
        <w:r w:rsidR="008A5A21">
          <w:rPr>
            <w:rFonts w:ascii="Times New Roman" w:eastAsia="Times New Roman" w:hAnsi="Times New Roman" w:cs="Times New Roman"/>
            <w:color w:val="1155CC"/>
            <w:u w:val="single"/>
          </w:rPr>
          <w:t xml:space="preserve"> https://www.ctinsider.com/business/article/charter-communications-spectrum-earnings-layoffs-21123116.php</w:t>
        </w:r>
      </w:hyperlink>
    </w:p>
    <w:p w14:paraId="2DF44B7C" w14:textId="77777777" w:rsidR="008A5A21" w:rsidRDefault="008A5A21">
      <w:pPr>
        <w:rPr>
          <w:rFonts w:ascii="Times New Roman" w:eastAsia="Times New Roman" w:hAnsi="Times New Roman" w:cs="Times New Roman"/>
        </w:rPr>
      </w:pPr>
    </w:p>
    <w:p w14:paraId="1000AC3E" w14:textId="77777777" w:rsidR="008A5A21" w:rsidRDefault="008A5A21">
      <w:pPr>
        <w:rPr>
          <w:rFonts w:ascii="Times New Roman" w:eastAsia="Times New Roman" w:hAnsi="Times New Roman" w:cs="Times New Roman"/>
        </w:rPr>
      </w:pPr>
    </w:p>
    <w:p w14:paraId="04DC71FC" w14:textId="77777777" w:rsidR="008A5A21"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Composition of Husson Stock Index (HSI)</w:t>
      </w:r>
    </w:p>
    <w:p w14:paraId="180D9183" w14:textId="77777777" w:rsidR="008A5A21" w:rsidRDefault="008A5A21">
      <w:pPr>
        <w:jc w:val="center"/>
        <w:rPr>
          <w:rFonts w:ascii="Times New Roman" w:eastAsia="Times New Roman" w:hAnsi="Times New Roman" w:cs="Times New Roman"/>
          <w:sz w:val="28"/>
          <w:szCs w:val="28"/>
        </w:rPr>
      </w:pPr>
    </w:p>
    <w:tbl>
      <w:tblPr>
        <w:tblStyle w:val="a"/>
        <w:tblW w:w="936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8A5A21" w14:paraId="38CEA1B8" w14:textId="77777777">
        <w:tc>
          <w:tcPr>
            <w:tcW w:w="2340" w:type="dxa"/>
            <w:tcMar>
              <w:top w:w="100" w:type="dxa"/>
              <w:left w:w="100" w:type="dxa"/>
              <w:bottom w:w="100" w:type="dxa"/>
              <w:right w:w="100" w:type="dxa"/>
            </w:tcMar>
          </w:tcPr>
          <w:p w14:paraId="5B941492"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Ticker symbol: Exchange</w:t>
            </w:r>
          </w:p>
        </w:tc>
        <w:tc>
          <w:tcPr>
            <w:tcW w:w="2340" w:type="dxa"/>
            <w:tcMar>
              <w:top w:w="100" w:type="dxa"/>
              <w:left w:w="100" w:type="dxa"/>
              <w:bottom w:w="100" w:type="dxa"/>
              <w:right w:w="100" w:type="dxa"/>
            </w:tcMar>
          </w:tcPr>
          <w:p w14:paraId="5AE617E7"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Stock </w:t>
            </w:r>
          </w:p>
        </w:tc>
        <w:tc>
          <w:tcPr>
            <w:tcW w:w="2340" w:type="dxa"/>
            <w:tcMar>
              <w:top w:w="100" w:type="dxa"/>
              <w:left w:w="100" w:type="dxa"/>
              <w:bottom w:w="100" w:type="dxa"/>
              <w:right w:w="100" w:type="dxa"/>
            </w:tcMar>
          </w:tcPr>
          <w:p w14:paraId="482FE437"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 Affiliation</w:t>
            </w:r>
          </w:p>
        </w:tc>
        <w:tc>
          <w:tcPr>
            <w:tcW w:w="2340" w:type="dxa"/>
            <w:tcMar>
              <w:top w:w="100" w:type="dxa"/>
              <w:left w:w="100" w:type="dxa"/>
              <w:bottom w:w="100" w:type="dxa"/>
              <w:right w:w="100" w:type="dxa"/>
            </w:tcMar>
          </w:tcPr>
          <w:p w14:paraId="7052F003"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Sector</w:t>
            </w:r>
          </w:p>
        </w:tc>
      </w:tr>
      <w:tr w:rsidR="008A5A21" w14:paraId="4C2AB867" w14:textId="77777777">
        <w:tc>
          <w:tcPr>
            <w:tcW w:w="2340" w:type="dxa"/>
            <w:tcMar>
              <w:top w:w="100" w:type="dxa"/>
              <w:left w:w="100" w:type="dxa"/>
              <w:bottom w:w="100" w:type="dxa"/>
              <w:right w:w="100" w:type="dxa"/>
            </w:tcMar>
          </w:tcPr>
          <w:p w14:paraId="6A1EE8A2"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BAC: NYSE</w:t>
            </w:r>
          </w:p>
        </w:tc>
        <w:tc>
          <w:tcPr>
            <w:tcW w:w="2340" w:type="dxa"/>
            <w:tcMar>
              <w:top w:w="100" w:type="dxa"/>
              <w:left w:w="100" w:type="dxa"/>
              <w:bottom w:w="100" w:type="dxa"/>
              <w:right w:w="100" w:type="dxa"/>
            </w:tcMar>
          </w:tcPr>
          <w:p w14:paraId="3ECF720F"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Bank of </w:t>
            </w:r>
            <w:proofErr w:type="spellStart"/>
            <w:r>
              <w:rPr>
                <w:rFonts w:ascii="Times New Roman" w:eastAsia="Times New Roman" w:hAnsi="Times New Roman" w:cs="Times New Roman"/>
              </w:rPr>
              <w:t>american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corp</w:t>
            </w:r>
            <w:proofErr w:type="spellEnd"/>
          </w:p>
        </w:tc>
        <w:tc>
          <w:tcPr>
            <w:tcW w:w="2340" w:type="dxa"/>
            <w:tcMar>
              <w:top w:w="100" w:type="dxa"/>
              <w:left w:w="100" w:type="dxa"/>
              <w:bottom w:w="100" w:type="dxa"/>
              <w:right w:w="100" w:type="dxa"/>
            </w:tcMar>
          </w:tcPr>
          <w:p w14:paraId="37576FCF"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3069212E"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A5A21" w14:paraId="28B62879" w14:textId="77777777">
        <w:tc>
          <w:tcPr>
            <w:tcW w:w="2340" w:type="dxa"/>
            <w:tcMar>
              <w:top w:w="100" w:type="dxa"/>
              <w:left w:w="100" w:type="dxa"/>
              <w:bottom w:w="100" w:type="dxa"/>
              <w:right w:w="100" w:type="dxa"/>
            </w:tcMar>
          </w:tcPr>
          <w:p w14:paraId="1DF12754"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BHB: NYSE</w:t>
            </w:r>
          </w:p>
        </w:tc>
        <w:tc>
          <w:tcPr>
            <w:tcW w:w="2340" w:type="dxa"/>
            <w:tcMar>
              <w:top w:w="100" w:type="dxa"/>
              <w:left w:w="100" w:type="dxa"/>
              <w:bottom w:w="100" w:type="dxa"/>
              <w:right w:w="100" w:type="dxa"/>
            </w:tcMar>
          </w:tcPr>
          <w:p w14:paraId="477E882C"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Bar Harbor Bank</w:t>
            </w:r>
          </w:p>
        </w:tc>
        <w:tc>
          <w:tcPr>
            <w:tcW w:w="2340" w:type="dxa"/>
            <w:tcMar>
              <w:top w:w="100" w:type="dxa"/>
              <w:left w:w="100" w:type="dxa"/>
              <w:bottom w:w="100" w:type="dxa"/>
              <w:right w:w="100" w:type="dxa"/>
            </w:tcMar>
          </w:tcPr>
          <w:p w14:paraId="5C3AE4D6"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5A69D250"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A5A21" w14:paraId="627C7469" w14:textId="77777777">
        <w:tc>
          <w:tcPr>
            <w:tcW w:w="2340" w:type="dxa"/>
            <w:tcMar>
              <w:top w:w="100" w:type="dxa"/>
              <w:left w:w="100" w:type="dxa"/>
              <w:bottom w:w="100" w:type="dxa"/>
              <w:right w:w="100" w:type="dxa"/>
            </w:tcMar>
          </w:tcPr>
          <w:p w14:paraId="6F3B6286"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CAC: NASDAQ</w:t>
            </w:r>
          </w:p>
        </w:tc>
        <w:tc>
          <w:tcPr>
            <w:tcW w:w="2340" w:type="dxa"/>
            <w:tcMar>
              <w:top w:w="100" w:type="dxa"/>
              <w:left w:w="100" w:type="dxa"/>
              <w:bottom w:w="100" w:type="dxa"/>
              <w:right w:w="100" w:type="dxa"/>
            </w:tcMar>
          </w:tcPr>
          <w:p w14:paraId="543FB433"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Camden National Corporation</w:t>
            </w:r>
          </w:p>
        </w:tc>
        <w:tc>
          <w:tcPr>
            <w:tcW w:w="2340" w:type="dxa"/>
            <w:tcMar>
              <w:top w:w="100" w:type="dxa"/>
              <w:left w:w="100" w:type="dxa"/>
              <w:bottom w:w="100" w:type="dxa"/>
              <w:right w:w="100" w:type="dxa"/>
            </w:tcMar>
          </w:tcPr>
          <w:p w14:paraId="2AF0FC98"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7A17148E"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A5A21" w14:paraId="189FE372" w14:textId="77777777">
        <w:tc>
          <w:tcPr>
            <w:tcW w:w="2340" w:type="dxa"/>
            <w:tcMar>
              <w:top w:w="100" w:type="dxa"/>
              <w:left w:w="100" w:type="dxa"/>
              <w:bottom w:w="100" w:type="dxa"/>
              <w:right w:w="100" w:type="dxa"/>
            </w:tcMar>
          </w:tcPr>
          <w:p w14:paraId="5B8ABE7A"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CHRT: NASDAQ</w:t>
            </w:r>
          </w:p>
        </w:tc>
        <w:tc>
          <w:tcPr>
            <w:tcW w:w="2340" w:type="dxa"/>
            <w:tcMar>
              <w:top w:w="100" w:type="dxa"/>
              <w:left w:w="100" w:type="dxa"/>
              <w:bottom w:w="100" w:type="dxa"/>
              <w:right w:w="100" w:type="dxa"/>
            </w:tcMar>
          </w:tcPr>
          <w:p w14:paraId="74BA4275"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Charter Communications, Inc.</w:t>
            </w:r>
          </w:p>
        </w:tc>
        <w:tc>
          <w:tcPr>
            <w:tcW w:w="2340" w:type="dxa"/>
            <w:tcMar>
              <w:top w:w="100" w:type="dxa"/>
              <w:left w:w="100" w:type="dxa"/>
              <w:bottom w:w="100" w:type="dxa"/>
              <w:right w:w="100" w:type="dxa"/>
            </w:tcMar>
          </w:tcPr>
          <w:p w14:paraId="2894712D"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61C689C3"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Communication Services</w:t>
            </w:r>
          </w:p>
        </w:tc>
      </w:tr>
      <w:tr w:rsidR="008A5A21" w14:paraId="38B57167" w14:textId="77777777">
        <w:tc>
          <w:tcPr>
            <w:tcW w:w="2340" w:type="dxa"/>
            <w:tcMar>
              <w:top w:w="100" w:type="dxa"/>
              <w:left w:w="100" w:type="dxa"/>
              <w:bottom w:w="100" w:type="dxa"/>
              <w:right w:w="100" w:type="dxa"/>
            </w:tcMar>
          </w:tcPr>
          <w:p w14:paraId="48E54B94"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CL: NYSE</w:t>
            </w:r>
          </w:p>
        </w:tc>
        <w:tc>
          <w:tcPr>
            <w:tcW w:w="2340" w:type="dxa"/>
            <w:tcMar>
              <w:top w:w="100" w:type="dxa"/>
              <w:left w:w="100" w:type="dxa"/>
              <w:bottom w:w="100" w:type="dxa"/>
              <w:right w:w="100" w:type="dxa"/>
            </w:tcMar>
          </w:tcPr>
          <w:p w14:paraId="1F914B54" w14:textId="77777777" w:rsidR="008A5A21" w:rsidRDefault="00000000">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Colgate-palmolive</w:t>
            </w:r>
            <w:proofErr w:type="spellEnd"/>
            <w:r>
              <w:rPr>
                <w:rFonts w:ascii="Times New Roman" w:eastAsia="Times New Roman" w:hAnsi="Times New Roman" w:cs="Times New Roman"/>
              </w:rPr>
              <w:t xml:space="preserve"> Company</w:t>
            </w:r>
          </w:p>
        </w:tc>
        <w:tc>
          <w:tcPr>
            <w:tcW w:w="2340" w:type="dxa"/>
            <w:tcMar>
              <w:top w:w="100" w:type="dxa"/>
              <w:left w:w="100" w:type="dxa"/>
              <w:bottom w:w="100" w:type="dxa"/>
              <w:right w:w="100" w:type="dxa"/>
            </w:tcMar>
          </w:tcPr>
          <w:p w14:paraId="240391D6"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37FE7AB0"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Staples</w:t>
            </w:r>
          </w:p>
        </w:tc>
      </w:tr>
      <w:tr w:rsidR="008A5A21" w14:paraId="2BBA812B" w14:textId="77777777">
        <w:tc>
          <w:tcPr>
            <w:tcW w:w="2340" w:type="dxa"/>
            <w:tcMar>
              <w:top w:w="100" w:type="dxa"/>
              <w:left w:w="100" w:type="dxa"/>
              <w:bottom w:w="100" w:type="dxa"/>
              <w:right w:w="100" w:type="dxa"/>
            </w:tcMar>
          </w:tcPr>
          <w:p w14:paraId="23CC507D"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DRI: NYSE</w:t>
            </w:r>
          </w:p>
        </w:tc>
        <w:tc>
          <w:tcPr>
            <w:tcW w:w="2340" w:type="dxa"/>
            <w:tcMar>
              <w:top w:w="100" w:type="dxa"/>
              <w:left w:w="100" w:type="dxa"/>
              <w:bottom w:w="100" w:type="dxa"/>
              <w:right w:w="100" w:type="dxa"/>
            </w:tcMar>
          </w:tcPr>
          <w:p w14:paraId="70389D9B"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Darden Restaurants, Inc.</w:t>
            </w:r>
          </w:p>
        </w:tc>
        <w:tc>
          <w:tcPr>
            <w:tcW w:w="2340" w:type="dxa"/>
            <w:tcMar>
              <w:top w:w="100" w:type="dxa"/>
              <w:left w:w="100" w:type="dxa"/>
              <w:bottom w:w="100" w:type="dxa"/>
              <w:right w:w="100" w:type="dxa"/>
            </w:tcMar>
          </w:tcPr>
          <w:p w14:paraId="4703271D"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5F005B46"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8A5A21" w14:paraId="4B55224C" w14:textId="77777777">
        <w:tc>
          <w:tcPr>
            <w:tcW w:w="2340" w:type="dxa"/>
            <w:tcMar>
              <w:top w:w="100" w:type="dxa"/>
              <w:left w:w="100" w:type="dxa"/>
              <w:bottom w:w="100" w:type="dxa"/>
              <w:right w:w="100" w:type="dxa"/>
            </w:tcMar>
          </w:tcPr>
          <w:p w14:paraId="2CFA2850"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FNLC: NASDAQ</w:t>
            </w:r>
          </w:p>
        </w:tc>
        <w:tc>
          <w:tcPr>
            <w:tcW w:w="2340" w:type="dxa"/>
            <w:tcMar>
              <w:top w:w="100" w:type="dxa"/>
              <w:left w:w="100" w:type="dxa"/>
              <w:bottom w:w="100" w:type="dxa"/>
              <w:right w:w="100" w:type="dxa"/>
            </w:tcMar>
          </w:tcPr>
          <w:p w14:paraId="13E948CD"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First Bancorp, Inc.</w:t>
            </w:r>
          </w:p>
        </w:tc>
        <w:tc>
          <w:tcPr>
            <w:tcW w:w="2340" w:type="dxa"/>
            <w:tcMar>
              <w:top w:w="100" w:type="dxa"/>
              <w:left w:w="100" w:type="dxa"/>
              <w:bottom w:w="100" w:type="dxa"/>
              <w:right w:w="100" w:type="dxa"/>
            </w:tcMar>
          </w:tcPr>
          <w:p w14:paraId="779A9BBD"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01559581"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A5A21" w14:paraId="38C07C5E" w14:textId="77777777">
        <w:tc>
          <w:tcPr>
            <w:tcW w:w="2340" w:type="dxa"/>
            <w:tcMar>
              <w:top w:w="100" w:type="dxa"/>
              <w:left w:w="100" w:type="dxa"/>
              <w:bottom w:w="100" w:type="dxa"/>
              <w:right w:w="100" w:type="dxa"/>
            </w:tcMar>
          </w:tcPr>
          <w:p w14:paraId="1C118C70"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GD: NYSE</w:t>
            </w:r>
          </w:p>
        </w:tc>
        <w:tc>
          <w:tcPr>
            <w:tcW w:w="2340" w:type="dxa"/>
            <w:tcMar>
              <w:top w:w="100" w:type="dxa"/>
              <w:left w:w="100" w:type="dxa"/>
              <w:bottom w:w="100" w:type="dxa"/>
              <w:right w:w="100" w:type="dxa"/>
            </w:tcMar>
          </w:tcPr>
          <w:p w14:paraId="684566EC"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General Dynamics Corporation</w:t>
            </w:r>
          </w:p>
        </w:tc>
        <w:tc>
          <w:tcPr>
            <w:tcW w:w="2340" w:type="dxa"/>
            <w:tcMar>
              <w:top w:w="100" w:type="dxa"/>
              <w:left w:w="100" w:type="dxa"/>
              <w:bottom w:w="100" w:type="dxa"/>
              <w:right w:w="100" w:type="dxa"/>
            </w:tcMar>
          </w:tcPr>
          <w:p w14:paraId="498A5B74"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5BE3444F"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A5A21" w14:paraId="00217D04" w14:textId="77777777">
        <w:tc>
          <w:tcPr>
            <w:tcW w:w="2340" w:type="dxa"/>
            <w:tcMar>
              <w:top w:w="100" w:type="dxa"/>
              <w:left w:w="100" w:type="dxa"/>
              <w:bottom w:w="100" w:type="dxa"/>
              <w:right w:w="100" w:type="dxa"/>
            </w:tcMar>
          </w:tcPr>
          <w:p w14:paraId="4B6FEAAE"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HLT: NYSE</w:t>
            </w:r>
          </w:p>
        </w:tc>
        <w:tc>
          <w:tcPr>
            <w:tcW w:w="2340" w:type="dxa"/>
            <w:tcMar>
              <w:top w:w="100" w:type="dxa"/>
              <w:left w:w="100" w:type="dxa"/>
              <w:bottom w:w="100" w:type="dxa"/>
              <w:right w:w="100" w:type="dxa"/>
            </w:tcMar>
          </w:tcPr>
          <w:p w14:paraId="1F8AE875"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Hilton Worldwide Holding, Inc.</w:t>
            </w:r>
          </w:p>
        </w:tc>
        <w:tc>
          <w:tcPr>
            <w:tcW w:w="2340" w:type="dxa"/>
            <w:tcMar>
              <w:top w:w="100" w:type="dxa"/>
              <w:left w:w="100" w:type="dxa"/>
              <w:bottom w:w="100" w:type="dxa"/>
              <w:right w:w="100" w:type="dxa"/>
            </w:tcMar>
          </w:tcPr>
          <w:p w14:paraId="2F04A2C7"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5FE570B3"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8A5A21" w14:paraId="01866046" w14:textId="77777777">
        <w:tc>
          <w:tcPr>
            <w:tcW w:w="2340" w:type="dxa"/>
            <w:tcMar>
              <w:top w:w="100" w:type="dxa"/>
              <w:left w:w="100" w:type="dxa"/>
              <w:bottom w:w="100" w:type="dxa"/>
              <w:right w:w="100" w:type="dxa"/>
            </w:tcMar>
          </w:tcPr>
          <w:p w14:paraId="1FC5AAD7"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HD: NYSE</w:t>
            </w:r>
          </w:p>
        </w:tc>
        <w:tc>
          <w:tcPr>
            <w:tcW w:w="2340" w:type="dxa"/>
            <w:tcMar>
              <w:top w:w="100" w:type="dxa"/>
              <w:left w:w="100" w:type="dxa"/>
              <w:bottom w:w="100" w:type="dxa"/>
              <w:right w:w="100" w:type="dxa"/>
            </w:tcMar>
          </w:tcPr>
          <w:p w14:paraId="7D37D045"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Home Depot, Inc.</w:t>
            </w:r>
          </w:p>
        </w:tc>
        <w:tc>
          <w:tcPr>
            <w:tcW w:w="2340" w:type="dxa"/>
            <w:tcMar>
              <w:top w:w="100" w:type="dxa"/>
              <w:left w:w="100" w:type="dxa"/>
              <w:bottom w:w="100" w:type="dxa"/>
              <w:right w:w="100" w:type="dxa"/>
            </w:tcMar>
          </w:tcPr>
          <w:p w14:paraId="613DF14F"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205F427C"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8A5A21" w14:paraId="0265A313" w14:textId="77777777">
        <w:tc>
          <w:tcPr>
            <w:tcW w:w="2340" w:type="dxa"/>
            <w:tcMar>
              <w:top w:w="100" w:type="dxa"/>
              <w:left w:w="100" w:type="dxa"/>
              <w:bottom w:w="100" w:type="dxa"/>
              <w:right w:w="100" w:type="dxa"/>
            </w:tcMar>
          </w:tcPr>
          <w:p w14:paraId="1B280D03"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ICC: NASDAQ</w:t>
            </w:r>
          </w:p>
        </w:tc>
        <w:tc>
          <w:tcPr>
            <w:tcW w:w="2340" w:type="dxa"/>
            <w:tcMar>
              <w:top w:w="100" w:type="dxa"/>
              <w:left w:w="100" w:type="dxa"/>
              <w:bottom w:w="100" w:type="dxa"/>
              <w:right w:w="100" w:type="dxa"/>
            </w:tcMar>
          </w:tcPr>
          <w:p w14:paraId="6A87ECAD"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ImmuCell Corporation </w:t>
            </w:r>
          </w:p>
        </w:tc>
        <w:tc>
          <w:tcPr>
            <w:tcW w:w="2340" w:type="dxa"/>
            <w:tcMar>
              <w:top w:w="100" w:type="dxa"/>
              <w:left w:w="100" w:type="dxa"/>
              <w:bottom w:w="100" w:type="dxa"/>
              <w:right w:w="100" w:type="dxa"/>
            </w:tcMar>
          </w:tcPr>
          <w:p w14:paraId="7B8FA437"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509BC1C6"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Health Care </w:t>
            </w:r>
          </w:p>
        </w:tc>
      </w:tr>
      <w:tr w:rsidR="008A5A21" w14:paraId="3FEC5971" w14:textId="77777777">
        <w:tc>
          <w:tcPr>
            <w:tcW w:w="2340" w:type="dxa"/>
            <w:tcMar>
              <w:top w:w="100" w:type="dxa"/>
              <w:left w:w="100" w:type="dxa"/>
              <w:bottom w:w="100" w:type="dxa"/>
              <w:right w:w="100" w:type="dxa"/>
            </w:tcMar>
          </w:tcPr>
          <w:p w14:paraId="102DB0B9"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IDXX: NASDAQ</w:t>
            </w:r>
          </w:p>
        </w:tc>
        <w:tc>
          <w:tcPr>
            <w:tcW w:w="2340" w:type="dxa"/>
            <w:tcMar>
              <w:top w:w="100" w:type="dxa"/>
              <w:left w:w="100" w:type="dxa"/>
              <w:bottom w:w="100" w:type="dxa"/>
              <w:right w:w="100" w:type="dxa"/>
            </w:tcMar>
          </w:tcPr>
          <w:p w14:paraId="43E1721D"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IDEXX Laboratories, Inc.</w:t>
            </w:r>
          </w:p>
        </w:tc>
        <w:tc>
          <w:tcPr>
            <w:tcW w:w="2340" w:type="dxa"/>
            <w:tcMar>
              <w:top w:w="100" w:type="dxa"/>
              <w:left w:w="100" w:type="dxa"/>
              <w:bottom w:w="100" w:type="dxa"/>
              <w:right w:w="100" w:type="dxa"/>
            </w:tcMar>
          </w:tcPr>
          <w:p w14:paraId="3AE3A943"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4AE14A4D"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Health Care </w:t>
            </w:r>
          </w:p>
        </w:tc>
      </w:tr>
      <w:tr w:rsidR="008A5A21" w14:paraId="6A65D00D" w14:textId="77777777">
        <w:tc>
          <w:tcPr>
            <w:tcW w:w="2340" w:type="dxa"/>
            <w:tcMar>
              <w:top w:w="100" w:type="dxa"/>
              <w:left w:w="100" w:type="dxa"/>
              <w:bottom w:w="100" w:type="dxa"/>
              <w:right w:w="100" w:type="dxa"/>
            </w:tcMar>
          </w:tcPr>
          <w:p w14:paraId="69302C59"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LOW: NYSE</w:t>
            </w:r>
          </w:p>
        </w:tc>
        <w:tc>
          <w:tcPr>
            <w:tcW w:w="2340" w:type="dxa"/>
            <w:tcMar>
              <w:top w:w="100" w:type="dxa"/>
              <w:left w:w="100" w:type="dxa"/>
              <w:bottom w:w="100" w:type="dxa"/>
              <w:right w:w="100" w:type="dxa"/>
            </w:tcMar>
          </w:tcPr>
          <w:p w14:paraId="78224C89"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Lowe’s Companies, Inc.</w:t>
            </w:r>
          </w:p>
        </w:tc>
        <w:tc>
          <w:tcPr>
            <w:tcW w:w="2340" w:type="dxa"/>
            <w:tcMar>
              <w:top w:w="100" w:type="dxa"/>
              <w:left w:w="100" w:type="dxa"/>
              <w:bottom w:w="100" w:type="dxa"/>
              <w:right w:w="100" w:type="dxa"/>
            </w:tcMar>
          </w:tcPr>
          <w:p w14:paraId="56DF2DC9"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AEC6830"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8A5A21" w14:paraId="1CDD74C3" w14:textId="77777777">
        <w:tc>
          <w:tcPr>
            <w:tcW w:w="2340" w:type="dxa"/>
            <w:tcMar>
              <w:top w:w="100" w:type="dxa"/>
              <w:left w:w="100" w:type="dxa"/>
              <w:bottom w:w="100" w:type="dxa"/>
              <w:right w:w="100" w:type="dxa"/>
            </w:tcMar>
          </w:tcPr>
          <w:p w14:paraId="5EEB8206"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MCD: NYSE</w:t>
            </w:r>
          </w:p>
        </w:tc>
        <w:tc>
          <w:tcPr>
            <w:tcW w:w="2340" w:type="dxa"/>
            <w:tcMar>
              <w:top w:w="100" w:type="dxa"/>
              <w:left w:w="100" w:type="dxa"/>
              <w:bottom w:w="100" w:type="dxa"/>
              <w:right w:w="100" w:type="dxa"/>
            </w:tcMar>
          </w:tcPr>
          <w:p w14:paraId="0BE81153"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McDonalds Corporation</w:t>
            </w:r>
          </w:p>
        </w:tc>
        <w:tc>
          <w:tcPr>
            <w:tcW w:w="2340" w:type="dxa"/>
            <w:tcMar>
              <w:top w:w="100" w:type="dxa"/>
              <w:left w:w="100" w:type="dxa"/>
              <w:bottom w:w="100" w:type="dxa"/>
              <w:right w:w="100" w:type="dxa"/>
            </w:tcMar>
          </w:tcPr>
          <w:p w14:paraId="60ED5B44"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CD32FCD"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8A5A21" w14:paraId="33C1CE96" w14:textId="77777777">
        <w:tc>
          <w:tcPr>
            <w:tcW w:w="2340" w:type="dxa"/>
            <w:tcMar>
              <w:top w:w="100" w:type="dxa"/>
              <w:left w:w="100" w:type="dxa"/>
              <w:bottom w:w="100" w:type="dxa"/>
              <w:right w:w="100" w:type="dxa"/>
            </w:tcMar>
          </w:tcPr>
          <w:p w14:paraId="76D51389"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NBN: NASDAQ</w:t>
            </w:r>
          </w:p>
        </w:tc>
        <w:tc>
          <w:tcPr>
            <w:tcW w:w="2340" w:type="dxa"/>
            <w:tcMar>
              <w:top w:w="100" w:type="dxa"/>
              <w:left w:w="100" w:type="dxa"/>
              <w:bottom w:w="100" w:type="dxa"/>
              <w:right w:w="100" w:type="dxa"/>
            </w:tcMar>
          </w:tcPr>
          <w:p w14:paraId="675B5F89"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Northeast Bank</w:t>
            </w:r>
          </w:p>
        </w:tc>
        <w:tc>
          <w:tcPr>
            <w:tcW w:w="2340" w:type="dxa"/>
            <w:tcMar>
              <w:top w:w="100" w:type="dxa"/>
              <w:left w:w="100" w:type="dxa"/>
              <w:bottom w:w="100" w:type="dxa"/>
              <w:right w:w="100" w:type="dxa"/>
            </w:tcMar>
          </w:tcPr>
          <w:p w14:paraId="376CF2D9"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69AD2DC5"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A5A21" w14:paraId="000D6999" w14:textId="77777777">
        <w:tc>
          <w:tcPr>
            <w:tcW w:w="2340" w:type="dxa"/>
            <w:tcMar>
              <w:top w:w="100" w:type="dxa"/>
              <w:left w:w="100" w:type="dxa"/>
              <w:bottom w:w="100" w:type="dxa"/>
              <w:right w:w="100" w:type="dxa"/>
            </w:tcMar>
          </w:tcPr>
          <w:p w14:paraId="2D1F192D"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PENN: NASDAQ</w:t>
            </w:r>
          </w:p>
        </w:tc>
        <w:tc>
          <w:tcPr>
            <w:tcW w:w="2340" w:type="dxa"/>
            <w:tcMar>
              <w:top w:w="100" w:type="dxa"/>
              <w:left w:w="100" w:type="dxa"/>
              <w:bottom w:w="100" w:type="dxa"/>
              <w:right w:w="100" w:type="dxa"/>
            </w:tcMar>
          </w:tcPr>
          <w:p w14:paraId="1D158E2B"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Penn National Gaming, Inc.</w:t>
            </w:r>
          </w:p>
        </w:tc>
        <w:tc>
          <w:tcPr>
            <w:tcW w:w="2340" w:type="dxa"/>
            <w:tcMar>
              <w:top w:w="100" w:type="dxa"/>
              <w:left w:w="100" w:type="dxa"/>
              <w:bottom w:w="100" w:type="dxa"/>
              <w:right w:w="100" w:type="dxa"/>
            </w:tcMar>
          </w:tcPr>
          <w:p w14:paraId="5EFBD1A6"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7DA6B8D3"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8A5A21" w14:paraId="0850D76A" w14:textId="77777777">
        <w:tc>
          <w:tcPr>
            <w:tcW w:w="2340" w:type="dxa"/>
            <w:tcMar>
              <w:top w:w="100" w:type="dxa"/>
              <w:left w:w="100" w:type="dxa"/>
              <w:bottom w:w="100" w:type="dxa"/>
              <w:right w:w="100" w:type="dxa"/>
            </w:tcMar>
          </w:tcPr>
          <w:p w14:paraId="1D98B820"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RTX: NYSE</w:t>
            </w:r>
          </w:p>
        </w:tc>
        <w:tc>
          <w:tcPr>
            <w:tcW w:w="2340" w:type="dxa"/>
            <w:tcMar>
              <w:top w:w="100" w:type="dxa"/>
              <w:left w:w="100" w:type="dxa"/>
              <w:bottom w:w="100" w:type="dxa"/>
              <w:right w:w="100" w:type="dxa"/>
            </w:tcMar>
          </w:tcPr>
          <w:p w14:paraId="06DC572E"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Raytheon Technologies Corporation</w:t>
            </w:r>
          </w:p>
        </w:tc>
        <w:tc>
          <w:tcPr>
            <w:tcW w:w="2340" w:type="dxa"/>
            <w:tcMar>
              <w:top w:w="100" w:type="dxa"/>
              <w:left w:w="100" w:type="dxa"/>
              <w:bottom w:w="100" w:type="dxa"/>
              <w:right w:w="100" w:type="dxa"/>
            </w:tcMar>
          </w:tcPr>
          <w:p w14:paraId="4E093FA0"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53DAB4A4"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Industrials</w:t>
            </w:r>
          </w:p>
        </w:tc>
      </w:tr>
      <w:tr w:rsidR="008A5A21" w14:paraId="0BA75195" w14:textId="77777777">
        <w:tc>
          <w:tcPr>
            <w:tcW w:w="2340" w:type="dxa"/>
            <w:tcMar>
              <w:top w:w="100" w:type="dxa"/>
              <w:left w:w="100" w:type="dxa"/>
              <w:bottom w:w="100" w:type="dxa"/>
              <w:right w:w="100" w:type="dxa"/>
            </w:tcMar>
          </w:tcPr>
          <w:p w14:paraId="2064BD33"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TD: NYSE</w:t>
            </w:r>
          </w:p>
        </w:tc>
        <w:tc>
          <w:tcPr>
            <w:tcW w:w="2340" w:type="dxa"/>
            <w:tcMar>
              <w:top w:w="100" w:type="dxa"/>
              <w:left w:w="100" w:type="dxa"/>
              <w:bottom w:w="100" w:type="dxa"/>
              <w:right w:w="100" w:type="dxa"/>
            </w:tcMar>
          </w:tcPr>
          <w:p w14:paraId="53BB1023"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Toronto-Dominion Bank</w:t>
            </w:r>
          </w:p>
        </w:tc>
        <w:tc>
          <w:tcPr>
            <w:tcW w:w="2340" w:type="dxa"/>
            <w:tcMar>
              <w:top w:w="100" w:type="dxa"/>
              <w:left w:w="100" w:type="dxa"/>
              <w:bottom w:w="100" w:type="dxa"/>
              <w:right w:w="100" w:type="dxa"/>
            </w:tcMar>
          </w:tcPr>
          <w:p w14:paraId="4A66FAE9"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6BB4A192"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A5A21" w14:paraId="11259138" w14:textId="77777777">
        <w:tc>
          <w:tcPr>
            <w:tcW w:w="2340" w:type="dxa"/>
            <w:tcMar>
              <w:top w:w="100" w:type="dxa"/>
              <w:left w:w="100" w:type="dxa"/>
              <w:bottom w:w="100" w:type="dxa"/>
              <w:right w:w="100" w:type="dxa"/>
            </w:tcMar>
          </w:tcPr>
          <w:p w14:paraId="2CF1780E"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TMUS: NASDAQ</w:t>
            </w:r>
          </w:p>
        </w:tc>
        <w:tc>
          <w:tcPr>
            <w:tcW w:w="2340" w:type="dxa"/>
            <w:tcMar>
              <w:top w:w="100" w:type="dxa"/>
              <w:left w:w="100" w:type="dxa"/>
              <w:bottom w:w="100" w:type="dxa"/>
              <w:right w:w="100" w:type="dxa"/>
            </w:tcMar>
          </w:tcPr>
          <w:p w14:paraId="46976A08"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T-Mobile US, Inc.</w:t>
            </w:r>
          </w:p>
        </w:tc>
        <w:tc>
          <w:tcPr>
            <w:tcW w:w="2340" w:type="dxa"/>
            <w:tcMar>
              <w:top w:w="100" w:type="dxa"/>
              <w:left w:w="100" w:type="dxa"/>
              <w:bottom w:w="100" w:type="dxa"/>
              <w:right w:w="100" w:type="dxa"/>
            </w:tcMar>
          </w:tcPr>
          <w:p w14:paraId="39CB908B"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517503F4"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Services</w:t>
            </w:r>
          </w:p>
        </w:tc>
      </w:tr>
      <w:tr w:rsidR="008A5A21" w14:paraId="68A80A3A" w14:textId="77777777">
        <w:tc>
          <w:tcPr>
            <w:tcW w:w="2340" w:type="dxa"/>
            <w:tcMar>
              <w:top w:w="100" w:type="dxa"/>
              <w:left w:w="100" w:type="dxa"/>
              <w:bottom w:w="100" w:type="dxa"/>
              <w:right w:w="100" w:type="dxa"/>
            </w:tcMar>
          </w:tcPr>
          <w:p w14:paraId="6940C232"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UPS: NYSE</w:t>
            </w:r>
          </w:p>
        </w:tc>
        <w:tc>
          <w:tcPr>
            <w:tcW w:w="2340" w:type="dxa"/>
            <w:tcMar>
              <w:top w:w="100" w:type="dxa"/>
              <w:left w:w="100" w:type="dxa"/>
              <w:bottom w:w="100" w:type="dxa"/>
              <w:right w:w="100" w:type="dxa"/>
            </w:tcMar>
          </w:tcPr>
          <w:p w14:paraId="7466E27C"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United Parcel Service, Inc. </w:t>
            </w:r>
          </w:p>
        </w:tc>
        <w:tc>
          <w:tcPr>
            <w:tcW w:w="2340" w:type="dxa"/>
            <w:tcMar>
              <w:top w:w="100" w:type="dxa"/>
              <w:left w:w="100" w:type="dxa"/>
              <w:bottom w:w="100" w:type="dxa"/>
              <w:right w:w="100" w:type="dxa"/>
            </w:tcMar>
          </w:tcPr>
          <w:p w14:paraId="2A0BA596"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1BDC2C9B"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Industrials</w:t>
            </w:r>
          </w:p>
        </w:tc>
      </w:tr>
      <w:tr w:rsidR="008A5A21" w14:paraId="75142A93" w14:textId="77777777">
        <w:tc>
          <w:tcPr>
            <w:tcW w:w="2340" w:type="dxa"/>
            <w:tcMar>
              <w:top w:w="100" w:type="dxa"/>
              <w:left w:w="100" w:type="dxa"/>
              <w:bottom w:w="100" w:type="dxa"/>
              <w:right w:w="100" w:type="dxa"/>
            </w:tcMar>
          </w:tcPr>
          <w:p w14:paraId="119D3DB2"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UNM: NYSE</w:t>
            </w:r>
          </w:p>
        </w:tc>
        <w:tc>
          <w:tcPr>
            <w:tcW w:w="2340" w:type="dxa"/>
            <w:tcMar>
              <w:top w:w="100" w:type="dxa"/>
              <w:left w:w="100" w:type="dxa"/>
              <w:bottom w:w="100" w:type="dxa"/>
              <w:right w:w="100" w:type="dxa"/>
            </w:tcMar>
          </w:tcPr>
          <w:p w14:paraId="58549B59"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UNUM Group</w:t>
            </w:r>
          </w:p>
        </w:tc>
        <w:tc>
          <w:tcPr>
            <w:tcW w:w="2340" w:type="dxa"/>
            <w:tcMar>
              <w:top w:w="100" w:type="dxa"/>
              <w:left w:w="100" w:type="dxa"/>
              <w:bottom w:w="100" w:type="dxa"/>
              <w:right w:w="100" w:type="dxa"/>
            </w:tcMar>
          </w:tcPr>
          <w:p w14:paraId="40D87C53"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C265192"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A5A21" w14:paraId="789D84EF" w14:textId="77777777">
        <w:tc>
          <w:tcPr>
            <w:tcW w:w="2340" w:type="dxa"/>
            <w:tcMar>
              <w:top w:w="100" w:type="dxa"/>
              <w:left w:w="100" w:type="dxa"/>
              <w:bottom w:w="100" w:type="dxa"/>
              <w:right w:w="100" w:type="dxa"/>
            </w:tcMar>
          </w:tcPr>
          <w:p w14:paraId="21B22FC2"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VLO: NYSE</w:t>
            </w:r>
          </w:p>
        </w:tc>
        <w:tc>
          <w:tcPr>
            <w:tcW w:w="2340" w:type="dxa"/>
            <w:tcMar>
              <w:top w:w="100" w:type="dxa"/>
              <w:left w:w="100" w:type="dxa"/>
              <w:bottom w:w="100" w:type="dxa"/>
              <w:right w:w="100" w:type="dxa"/>
            </w:tcMar>
          </w:tcPr>
          <w:p w14:paraId="4BDEDD99"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Valero Energy Corporation</w:t>
            </w:r>
          </w:p>
        </w:tc>
        <w:tc>
          <w:tcPr>
            <w:tcW w:w="2340" w:type="dxa"/>
            <w:tcMar>
              <w:top w:w="100" w:type="dxa"/>
              <w:left w:w="100" w:type="dxa"/>
              <w:bottom w:w="100" w:type="dxa"/>
              <w:right w:w="100" w:type="dxa"/>
            </w:tcMar>
          </w:tcPr>
          <w:p w14:paraId="3FE8124B"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512ADAC"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Energy</w:t>
            </w:r>
          </w:p>
        </w:tc>
      </w:tr>
      <w:tr w:rsidR="008A5A21" w14:paraId="0EDF0D8D" w14:textId="77777777">
        <w:tc>
          <w:tcPr>
            <w:tcW w:w="2340" w:type="dxa"/>
            <w:tcMar>
              <w:top w:w="100" w:type="dxa"/>
              <w:left w:w="100" w:type="dxa"/>
              <w:bottom w:w="100" w:type="dxa"/>
              <w:right w:w="100" w:type="dxa"/>
            </w:tcMar>
          </w:tcPr>
          <w:p w14:paraId="4E01C2C7"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WMT: NYSE</w:t>
            </w:r>
          </w:p>
        </w:tc>
        <w:tc>
          <w:tcPr>
            <w:tcW w:w="2340" w:type="dxa"/>
            <w:tcMar>
              <w:top w:w="100" w:type="dxa"/>
              <w:left w:w="100" w:type="dxa"/>
              <w:bottom w:w="100" w:type="dxa"/>
              <w:right w:w="100" w:type="dxa"/>
            </w:tcMar>
          </w:tcPr>
          <w:p w14:paraId="349A332C"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Walmart, Inc.</w:t>
            </w:r>
          </w:p>
        </w:tc>
        <w:tc>
          <w:tcPr>
            <w:tcW w:w="2340" w:type="dxa"/>
            <w:tcMar>
              <w:top w:w="100" w:type="dxa"/>
              <w:left w:w="100" w:type="dxa"/>
              <w:bottom w:w="100" w:type="dxa"/>
              <w:right w:w="100" w:type="dxa"/>
            </w:tcMar>
          </w:tcPr>
          <w:p w14:paraId="1AA9E186"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23D908C"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Services</w:t>
            </w:r>
          </w:p>
        </w:tc>
      </w:tr>
      <w:tr w:rsidR="008A5A21" w14:paraId="76A3CEE0" w14:textId="77777777">
        <w:tc>
          <w:tcPr>
            <w:tcW w:w="2340" w:type="dxa"/>
            <w:tcMar>
              <w:top w:w="100" w:type="dxa"/>
              <w:left w:w="100" w:type="dxa"/>
              <w:bottom w:w="100" w:type="dxa"/>
              <w:right w:w="100" w:type="dxa"/>
            </w:tcMar>
          </w:tcPr>
          <w:p w14:paraId="1E1780AA"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WEX: NYSE</w:t>
            </w:r>
          </w:p>
        </w:tc>
        <w:tc>
          <w:tcPr>
            <w:tcW w:w="2340" w:type="dxa"/>
            <w:tcMar>
              <w:top w:w="100" w:type="dxa"/>
              <w:left w:w="100" w:type="dxa"/>
              <w:bottom w:w="100" w:type="dxa"/>
              <w:right w:w="100" w:type="dxa"/>
            </w:tcMar>
          </w:tcPr>
          <w:p w14:paraId="06AFCB35"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WEX, Inc. </w:t>
            </w:r>
          </w:p>
        </w:tc>
        <w:tc>
          <w:tcPr>
            <w:tcW w:w="2340" w:type="dxa"/>
            <w:tcMar>
              <w:top w:w="100" w:type="dxa"/>
              <w:left w:w="100" w:type="dxa"/>
              <w:bottom w:w="100" w:type="dxa"/>
              <w:right w:w="100" w:type="dxa"/>
            </w:tcMar>
          </w:tcPr>
          <w:p w14:paraId="211374BE"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2725141" w14:textId="77777777" w:rsidR="008A5A21"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Information Technologies</w:t>
            </w:r>
          </w:p>
        </w:tc>
      </w:tr>
    </w:tbl>
    <w:p w14:paraId="05446449" w14:textId="77777777" w:rsidR="008A5A21" w:rsidRDefault="008A5A21">
      <w:pPr>
        <w:rPr>
          <w:rFonts w:ascii="Times New Roman" w:eastAsia="Times New Roman" w:hAnsi="Times New Roman" w:cs="Times New Roman"/>
          <w:sz w:val="24"/>
          <w:szCs w:val="24"/>
        </w:rPr>
      </w:pPr>
    </w:p>
    <w:sectPr w:rsidR="008A5A2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E527B7A-6124-044E-AC80-3A438F6429F9}"/>
    <w:embedItalic r:id="rId2" w:fontKey="{6FE1AD42-3F20-1B42-A803-786EAD5909E4}"/>
  </w:font>
  <w:font w:name="Times New Roman">
    <w:panose1 w:val="02020603050405020304"/>
    <w:charset w:val="00"/>
    <w:family w:val="roman"/>
    <w:pitch w:val="variable"/>
    <w:sig w:usb0="E0002EFF" w:usb1="C000785B" w:usb2="00000009" w:usb3="00000000" w:csb0="000001FF" w:csb1="00000000"/>
    <w:embedRegular r:id="rId3" w:fontKey="{D464A026-0E67-A442-8386-D1461CA8E331}"/>
    <w:embedBold r:id="rId4" w:fontKey="{F4768932-DFED-8146-BFA0-670670A3836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5" w:fontKey="{9B8958BE-1CEC-424C-80D4-99C4FC8BC093}"/>
  </w:font>
  <w:font w:name="Cambria">
    <w:panose1 w:val="02040503050406030204"/>
    <w:charset w:val="00"/>
    <w:family w:val="roman"/>
    <w:pitch w:val="variable"/>
    <w:sig w:usb0="E00006FF" w:usb1="420024FF" w:usb2="02000000" w:usb3="00000000" w:csb0="0000019F" w:csb1="00000000"/>
    <w:embedRegular r:id="rId6" w:fontKey="{A688547D-9F4C-F947-9471-77395DD6F5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A21"/>
    <w:rsid w:val="000103A6"/>
    <w:rsid w:val="00222346"/>
    <w:rsid w:val="002403D9"/>
    <w:rsid w:val="008A5A21"/>
    <w:rsid w:val="008C4423"/>
    <w:rsid w:val="00E75252"/>
    <w:rsid w:val="00F13E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3C66930"/>
  <w15:docId w15:val="{EF4BFF5D-5E8A-DF49-846E-4B3D1AC9E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F13EC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usinesswire.com/news/home/20251103779309/en/Unum-Group-Reports-Third-Quarter-2025-Results?utm_source=chatgpt.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finance.yahoo.com/news/unum-group-nyse-unm-q3-214213580.htm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eekingalpha.com/article/4837273-idexx-laboratories-a-strong-third-quarter-with-good-future-prospects?utm_source=chatgpt.com" TargetMode="External"/><Relationship Id="rId11" Type="http://schemas.openxmlformats.org/officeDocument/2006/relationships/hyperlink" Target="https://www.ctinsider.com/business/article/charter-communications-spectrum-earnings-layoffs-21123116.php?utm_source=chatgpt.com" TargetMode="External"/><Relationship Id="rId5" Type="http://schemas.openxmlformats.org/officeDocument/2006/relationships/hyperlink" Target="https://www.investors.com/news/technology/idexx-laboratories-idexx-stock-earnings-q3-2025/" TargetMode="External"/><Relationship Id="rId10" Type="http://schemas.openxmlformats.org/officeDocument/2006/relationships/hyperlink" Target="https://www.foxbusiness.com/sports/espn-penn-entertainment-end-sports-betting-partnership-early-shock-announcement" TargetMode="External"/><Relationship Id="rId4" Type="http://schemas.openxmlformats.org/officeDocument/2006/relationships/hyperlink" Target="https://www.investors.com/news/technology/idexx-laboratories-idexx-stock-earnings-q3-2025/?utm_source=chatgpt.com" TargetMode="External"/><Relationship Id="rId9" Type="http://schemas.openxmlformats.org/officeDocument/2006/relationships/hyperlink" Target="https://www.businesswire.com/news/home/20251103779309/en/Unum-Group-Reports-Third-Quarter-2025-Resul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1703</Words>
  <Characters>9711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5</cp:revision>
  <dcterms:created xsi:type="dcterms:W3CDTF">2025-11-08T23:58:00Z</dcterms:created>
  <dcterms:modified xsi:type="dcterms:W3CDTF">2025-11-09T23:34:00Z</dcterms:modified>
</cp:coreProperties>
</file>