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3C36D" w14:textId="77777777" w:rsidR="00F1177B"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Husson Stock Index</w:t>
      </w:r>
    </w:p>
    <w:p w14:paraId="3D0D3677" w14:textId="77777777" w:rsidR="00F1177B"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3EEF5576" w14:textId="7738F254" w:rsidR="00F1177B"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Week ended </w:t>
      </w:r>
      <w:r w:rsidR="00604F4F">
        <w:rPr>
          <w:rFonts w:ascii="Times New Roman" w:eastAsia="Times New Roman" w:hAnsi="Times New Roman" w:cs="Times New Roman"/>
          <w:b/>
          <w:bCs/>
        </w:rPr>
        <w:t>Friday, November</w:t>
      </w:r>
      <w:r>
        <w:rPr>
          <w:rFonts w:ascii="Times New Roman" w:eastAsia="Times New Roman" w:hAnsi="Times New Roman" w:cs="Times New Roman"/>
          <w:b/>
          <w:bCs/>
        </w:rPr>
        <w:t xml:space="preserve"> 28th, 2025</w:t>
      </w:r>
    </w:p>
    <w:p w14:paraId="7EAE6EB9" w14:textId="77777777" w:rsidR="00F1177B"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4DAADC4" w14:textId="21E29B15" w:rsidR="00F1177B"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For the week ending November 28th, 2025, the Husson Stock Index (HSI) closed at 254.82, reflecting a 2.30% increase from the previous week. The S&amp;P 500 rose 3.73% over the last week, </w:t>
      </w:r>
      <w:r w:rsidR="00604F4F">
        <w:rPr>
          <w:rFonts w:ascii="Times New Roman" w:eastAsia="Times New Roman" w:hAnsi="Times New Roman" w:cs="Times New Roman"/>
        </w:rPr>
        <w:t>and up by 16.45% year to date</w:t>
      </w:r>
      <w:r>
        <w:rPr>
          <w:rFonts w:ascii="Times New Roman" w:eastAsia="Times New Roman" w:hAnsi="Times New Roman" w:cs="Times New Roman"/>
        </w:rPr>
        <w:t>, while the Dow Jones Industrial Average (DJIA) gained 3.18%</w:t>
      </w:r>
      <w:r w:rsidR="00604F4F">
        <w:rPr>
          <w:rFonts w:ascii="Times New Roman" w:eastAsia="Times New Roman" w:hAnsi="Times New Roman" w:cs="Times New Roman"/>
        </w:rPr>
        <w:t xml:space="preserve"> over the past week and 12.16% year to date.</w:t>
      </w:r>
    </w:p>
    <w:p w14:paraId="5448E3BC" w14:textId="77777777" w:rsidR="00F1177B" w:rsidRDefault="00F1177B">
      <w:pPr>
        <w:rPr>
          <w:rFonts w:ascii="Times New Roman" w:eastAsia="Times New Roman" w:hAnsi="Times New Roman" w:cs="Times New Roman"/>
        </w:rPr>
      </w:pPr>
    </w:p>
    <w:p w14:paraId="0B559198" w14:textId="77777777" w:rsidR="00F1177B"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Summary</w:t>
      </w:r>
    </w:p>
    <w:p w14:paraId="6CBF3614" w14:textId="7798F5DB" w:rsidR="00F1177B" w:rsidRDefault="00604F4F">
      <w:pPr>
        <w:ind w:firstLine="720"/>
        <w:rPr>
          <w:rFonts w:ascii="Times New Roman" w:eastAsia="Times New Roman" w:hAnsi="Times New Roman" w:cs="Times New Roman"/>
        </w:rPr>
      </w:pPr>
      <w:r>
        <w:rPr>
          <w:rFonts w:ascii="Times New Roman" w:eastAsia="Times New Roman" w:hAnsi="Times New Roman" w:cs="Times New Roman"/>
        </w:rPr>
        <w:t xml:space="preserve"> </w:t>
      </w:r>
    </w:p>
    <w:p w14:paraId="7E8A9080" w14:textId="77777777" w:rsidR="00F1177B" w:rsidRDefault="00000000">
      <w:pPr>
        <w:ind w:firstLine="720"/>
        <w:rPr>
          <w:rFonts w:ascii="Times New Roman" w:eastAsia="Times New Roman" w:hAnsi="Times New Roman" w:cs="Times New Roman"/>
        </w:rPr>
      </w:pPr>
      <w:r>
        <w:rPr>
          <w:rFonts w:ascii="Times New Roman" w:eastAsia="Times New Roman" w:hAnsi="Times New Roman" w:cs="Times New Roman"/>
        </w:rPr>
        <w:t>This week, the Husson Stock Index began to regain traction, with leading contributions from components driven by positive sentiment and year-end positioning shifts. Although there was positive movement, the HSI still trailed behind the S&amp;P 500 and Dow indexes, indicating sensitivity to industry shifts rather than national market trends for Maine’s regional market.</w:t>
      </w:r>
    </w:p>
    <w:p w14:paraId="55DE3915" w14:textId="77777777" w:rsidR="00F1177B" w:rsidRDefault="00F1177B">
      <w:pPr>
        <w:ind w:firstLine="720"/>
        <w:rPr>
          <w:rFonts w:ascii="Times New Roman" w:eastAsia="Times New Roman" w:hAnsi="Times New Roman" w:cs="Times New Roman"/>
        </w:rPr>
      </w:pPr>
      <w:bookmarkStart w:id="0" w:name="_heading=h.i7wc3o7hpvba" w:colFirst="0" w:colLast="0"/>
      <w:bookmarkEnd w:id="0"/>
    </w:p>
    <w:p w14:paraId="4940BBBC" w14:textId="77777777" w:rsidR="00F1177B" w:rsidRDefault="00000000">
      <w:pPr>
        <w:ind w:firstLine="720"/>
        <w:rPr>
          <w:rFonts w:ascii="Times New Roman" w:eastAsia="Times New Roman" w:hAnsi="Times New Roman" w:cs="Times New Roman"/>
        </w:rPr>
      </w:pPr>
      <w:r>
        <w:rPr>
          <w:rFonts w:ascii="Times New Roman" w:eastAsia="Times New Roman" w:hAnsi="Times New Roman" w:cs="Times New Roman"/>
        </w:rPr>
        <w:t>Penn Entertainment (PENN) was the strongest riser among stocks listed on the HSI, with an impressive gain of 7.54%. PENN Entertainment is a leading North American provider of integrated entertainment, sports content, and casino gaming experiences. It operates across land-based casinos and racetracks, including Hollywood Casino in Bangor. Institutional investor activity also supported sentiment surrounding PENN. According to Nasdaq, Philadelphia-based Penn Capital Management sold approximately 1.6 million shares of BGC Group during the third quarter, resulting in a reallocation of nearly $17.1 million in capital. While the transaction did not directly involve PENN shares, the shift represented a 1.2% change in the firm’s equity portfolio, suggesting broader repositioning activity within discretionary and financial-related holdings (Nasdaq, 2025). This kind of institutional movement may signal changing outlooks on sector performance and risk exposure, contributing to short-term buying momentum in comparable stocks such as Penn Entertainment.</w:t>
      </w:r>
    </w:p>
    <w:p w14:paraId="7040E59C" w14:textId="77777777" w:rsidR="00F1177B" w:rsidRDefault="00F1177B" w:rsidP="00931958">
      <w:pPr>
        <w:rPr>
          <w:rFonts w:ascii="Times New Roman" w:eastAsia="Times New Roman" w:hAnsi="Times New Roman" w:cs="Times New Roman"/>
        </w:rPr>
      </w:pPr>
      <w:bookmarkStart w:id="1" w:name="_heading=h.9xbv72gutwcx" w:colFirst="0" w:colLast="0"/>
      <w:bookmarkEnd w:id="1"/>
    </w:p>
    <w:p w14:paraId="04B58777" w14:textId="77777777" w:rsidR="00F1177B" w:rsidRDefault="00000000">
      <w:pPr>
        <w:ind w:firstLine="720"/>
      </w:pPr>
      <w:r>
        <w:rPr>
          <w:rFonts w:ascii="Times New Roman" w:eastAsia="Times New Roman" w:hAnsi="Times New Roman" w:cs="Times New Roman"/>
        </w:rPr>
        <w:t xml:space="preserve">Second was Northeast Bank (NBN), with shares rising 5.12%. The financial sector was aided by outlooks for higher interest rates and improved yield trends. This was especially true for regional banks with heightened expectations for growth in loans and expanded bases for margin growth. NBN was not making any major headlines this week; however, </w:t>
      </w:r>
      <w:proofErr w:type="spellStart"/>
      <w:r>
        <w:rPr>
          <w:rFonts w:ascii="Times New Roman" w:eastAsia="Times New Roman" w:hAnsi="Times New Roman" w:cs="Times New Roman"/>
        </w:rPr>
        <w:t>MarketBeat</w:t>
      </w:r>
      <w:proofErr w:type="spellEnd"/>
      <w:r>
        <w:rPr>
          <w:rFonts w:ascii="Times New Roman" w:eastAsia="Times New Roman" w:hAnsi="Times New Roman" w:cs="Times New Roman"/>
        </w:rPr>
        <w:t xml:space="preserve"> reported that “Boston Partners, Summit Global Investments, and Segall Bryant &amp; Hamill LLC all increased their holdings in Northeast Bancorp between November 26 and November 29. Boston Partners alone purchased over 4,000 shares, while Summit Global reported holdings valued at approximately $213,000” (</w:t>
      </w:r>
      <w:proofErr w:type="spellStart"/>
      <w:r>
        <w:rPr>
          <w:rFonts w:ascii="Times New Roman" w:eastAsia="Times New Roman" w:hAnsi="Times New Roman" w:cs="Times New Roman"/>
        </w:rPr>
        <w:t>MarketBeat</w:t>
      </w:r>
      <w:proofErr w:type="spellEnd"/>
      <w:r>
        <w:rPr>
          <w:rFonts w:ascii="Times New Roman" w:eastAsia="Times New Roman" w:hAnsi="Times New Roman" w:cs="Times New Roman"/>
        </w:rPr>
        <w:t>, 2025). This inflow of institutional capital indicates increasing confidence in the company’s stability and outlook, particularly as investors seek regional banks positioned for rate-driven margin improvement.</w:t>
      </w:r>
    </w:p>
    <w:p w14:paraId="38E088CB" w14:textId="77777777" w:rsidR="00F1177B" w:rsidRDefault="00F1177B" w:rsidP="00931958">
      <w:pPr>
        <w:rPr>
          <w:rFonts w:ascii="Times New Roman" w:eastAsia="Times New Roman" w:hAnsi="Times New Roman" w:cs="Times New Roman"/>
        </w:rPr>
      </w:pPr>
      <w:bookmarkStart w:id="2" w:name="_heading=h.mwwmofgjqv3o" w:colFirst="0" w:colLast="0"/>
      <w:bookmarkEnd w:id="2"/>
    </w:p>
    <w:p w14:paraId="18EC965C" w14:textId="0E49BA1F" w:rsidR="00F1177B" w:rsidRDefault="00000000">
      <w:pPr>
        <w:ind w:firstLine="720"/>
        <w:rPr>
          <w:rFonts w:ascii="Times New Roman" w:eastAsia="Times New Roman" w:hAnsi="Times New Roman" w:cs="Times New Roman"/>
        </w:rPr>
      </w:pPr>
      <w:r>
        <w:rPr>
          <w:rFonts w:ascii="Times New Roman" w:eastAsia="Times New Roman" w:hAnsi="Times New Roman" w:cs="Times New Roman"/>
        </w:rPr>
        <w:t>On the negative side, Charter Communications Inc (CHTR) recorded the lowest performance with a small decrease of 1.42%. The company faces challenges related to broadband net losses and competition posed by fiber-based firms. According to Investing.com, “technical indicators show that CHTR currently sits in oversold territory, which often suggests selling pressure may be near exhaustion</w:t>
      </w:r>
      <w:r w:rsidR="00931958">
        <w:rPr>
          <w:rFonts w:ascii="Times New Roman" w:eastAsia="Times New Roman" w:hAnsi="Times New Roman" w:cs="Times New Roman"/>
        </w:rPr>
        <w:t>”</w:t>
      </w:r>
      <w:r>
        <w:rPr>
          <w:rFonts w:ascii="Times New Roman" w:eastAsia="Times New Roman" w:hAnsi="Times New Roman" w:cs="Times New Roman"/>
        </w:rPr>
        <w:t xml:space="preserve">. Despite recent price weakness, analysts’ average price target remains approximately 36% above current levels, indicating expectations of recovery. The company remains fundamentally profitable, posting $5.1 </w:t>
      </w:r>
      <w:r>
        <w:rPr>
          <w:rFonts w:ascii="Times New Roman" w:eastAsia="Times New Roman" w:hAnsi="Times New Roman" w:cs="Times New Roman"/>
        </w:rPr>
        <w:lastRenderedPageBreak/>
        <w:t xml:space="preserve">billion in net income over the past twelve months, although the stock recently touched a 52-week low as investors weighed growth concerns (Investing.com, 2025). While near-term conditions remain difficult, the valuation gap suggests the market may be underestimating long-term recovery prospects. It is important to note that CHTR’s price is near its lowest in the past 12 months. Another important thing to note is the fact that at its peak, CHTR’s price was an astounding $821/share in late 2021, and has fallen to just over $200/share, which means it has lost roughly 75% of its value in about 4 years. </w:t>
      </w:r>
    </w:p>
    <w:p w14:paraId="56A2B0AC" w14:textId="77777777" w:rsidR="00F1177B" w:rsidRDefault="00F1177B" w:rsidP="00931958">
      <w:pPr>
        <w:rPr>
          <w:rFonts w:ascii="Times New Roman" w:eastAsia="Times New Roman" w:hAnsi="Times New Roman" w:cs="Times New Roman"/>
        </w:rPr>
      </w:pPr>
      <w:bookmarkStart w:id="3" w:name="_heading=h.4524qmlop0nj" w:colFirst="0" w:colLast="0"/>
      <w:bookmarkEnd w:id="3"/>
    </w:p>
    <w:p w14:paraId="3A6093C5" w14:textId="77777777" w:rsidR="00F1177B"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Colgate-Palmolive (CL) was not far behind, with shares decreasing 0.67%. Consumer staples were among the underperformers as market players' focus shifted to growth possibilities. Colgate-Palmolive is still a stable dividend-paying stock with an efficient business structure; however, sluggish growth momentum and pricing pressures associated with input costs prevent it from scaling to growth leaders' heights. Yahoo Finance noted that Colgate’s fair value estimate stands at $87.26, moderately above its recent closing price of $80.93, highlighting a valuation gap between current market pricing and long-term analyst expectations. The report emphasized that while Colgate remains a dependable brand with a strong operating history, near-term growth expectations </w:t>
      </w:r>
      <w:proofErr w:type="gramStart"/>
      <w:r>
        <w:rPr>
          <w:rFonts w:ascii="Times New Roman" w:eastAsia="Times New Roman" w:hAnsi="Times New Roman" w:cs="Times New Roman"/>
        </w:rPr>
        <w:t>lag behind</w:t>
      </w:r>
      <w:proofErr w:type="gramEnd"/>
      <w:r>
        <w:rPr>
          <w:rFonts w:ascii="Times New Roman" w:eastAsia="Times New Roman" w:hAnsi="Times New Roman" w:cs="Times New Roman"/>
        </w:rPr>
        <w:t xml:space="preserve"> faster-growing sectors, limiting short-term upside (Yahoo Finance, 2025). As a result, defensive stocks like Colgate have been temporarily overlooked despite their longer-term stability.</w:t>
      </w:r>
    </w:p>
    <w:p w14:paraId="2611CBE1" w14:textId="77777777" w:rsidR="00F1177B" w:rsidRDefault="00F1177B">
      <w:pPr>
        <w:ind w:firstLine="720"/>
        <w:rPr>
          <w:rFonts w:ascii="Times New Roman" w:eastAsia="Times New Roman" w:hAnsi="Times New Roman" w:cs="Times New Roman"/>
        </w:rPr>
      </w:pPr>
    </w:p>
    <w:p w14:paraId="13C72C04" w14:textId="77777777" w:rsidR="00F1177B"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Overall, the week ending November 28th, 2025, showed strong market enthusiasm with confidence following the volatile market performances in the middle of the month. The national market indexes posted stronger performances, but the HSI posted positive gains with showings in the discretionary and financial sectors, without the help of the major blue-chip market drivers. </w:t>
      </w:r>
    </w:p>
    <w:p w14:paraId="5AF04E8C" w14:textId="77777777" w:rsidR="00F1177B" w:rsidRDefault="00F1177B">
      <w:pPr>
        <w:rPr>
          <w:rFonts w:ascii="Times New Roman" w:eastAsia="Times New Roman" w:hAnsi="Times New Roman" w:cs="Times New Roman"/>
        </w:rPr>
      </w:pPr>
    </w:p>
    <w:p w14:paraId="50023A6F" w14:textId="77777777" w:rsidR="00F1177B" w:rsidRDefault="00F1177B">
      <w:pPr>
        <w:jc w:val="center"/>
        <w:rPr>
          <w:rFonts w:ascii="Times New Roman" w:eastAsia="Times New Roman" w:hAnsi="Times New Roman" w:cs="Times New Roman"/>
          <w:b/>
          <w:bCs/>
        </w:rPr>
      </w:pPr>
    </w:p>
    <w:p w14:paraId="00888B8C" w14:textId="77777777" w:rsidR="00F1177B" w:rsidRDefault="00F1177B">
      <w:pPr>
        <w:jc w:val="center"/>
        <w:rPr>
          <w:rFonts w:ascii="Times New Roman" w:eastAsia="Times New Roman" w:hAnsi="Times New Roman" w:cs="Times New Roman"/>
          <w:b/>
          <w:bCs/>
        </w:rPr>
      </w:pPr>
    </w:p>
    <w:p w14:paraId="115E1776" w14:textId="77777777" w:rsidR="00F1177B" w:rsidRDefault="00F1177B">
      <w:pPr>
        <w:jc w:val="center"/>
        <w:rPr>
          <w:rFonts w:ascii="Times New Roman" w:eastAsia="Times New Roman" w:hAnsi="Times New Roman" w:cs="Times New Roman"/>
          <w:b/>
          <w:bCs/>
        </w:rPr>
      </w:pPr>
    </w:p>
    <w:p w14:paraId="61B6B3AD" w14:textId="77777777" w:rsidR="00F1177B" w:rsidRDefault="00F1177B">
      <w:pPr>
        <w:jc w:val="center"/>
        <w:rPr>
          <w:rFonts w:ascii="Times New Roman" w:eastAsia="Times New Roman" w:hAnsi="Times New Roman" w:cs="Times New Roman"/>
          <w:b/>
          <w:bCs/>
        </w:rPr>
      </w:pPr>
    </w:p>
    <w:p w14:paraId="3917E6D3" w14:textId="77777777" w:rsidR="00F1177B" w:rsidRDefault="00F1177B">
      <w:pPr>
        <w:jc w:val="center"/>
        <w:rPr>
          <w:rFonts w:ascii="Times New Roman" w:eastAsia="Times New Roman" w:hAnsi="Times New Roman" w:cs="Times New Roman"/>
          <w:b/>
          <w:bCs/>
        </w:rPr>
      </w:pPr>
    </w:p>
    <w:p w14:paraId="64FF0F42" w14:textId="77777777" w:rsidR="00F1177B" w:rsidRDefault="00F1177B">
      <w:pPr>
        <w:jc w:val="center"/>
        <w:rPr>
          <w:rFonts w:ascii="Times New Roman" w:eastAsia="Times New Roman" w:hAnsi="Times New Roman" w:cs="Times New Roman"/>
          <w:b/>
          <w:bCs/>
        </w:rPr>
      </w:pPr>
    </w:p>
    <w:p w14:paraId="27F93251" w14:textId="77777777" w:rsidR="00F1177B"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Overview</w:t>
      </w:r>
    </w:p>
    <w:p w14:paraId="1E0C1103" w14:textId="77777777" w:rsidR="00F1177B" w:rsidRDefault="00F1177B">
      <w:pPr>
        <w:rPr>
          <w:rFonts w:ascii="Times New Roman" w:eastAsia="Times New Roman" w:hAnsi="Times New Roman" w:cs="Times New Roman"/>
          <w:b/>
          <w:bCs/>
        </w:rPr>
      </w:pPr>
    </w:p>
    <w:p w14:paraId="4FF573C9" w14:textId="77777777" w:rsidR="00F1177B" w:rsidRDefault="00000000">
      <w:pPr>
        <w:ind w:firstLine="720"/>
        <w:rPr>
          <w:rFonts w:ascii="Times New Roman" w:eastAsia="Times New Roman" w:hAnsi="Times New Roman" w:cs="Times New Roman"/>
        </w:rPr>
      </w:pPr>
      <w:r>
        <w:rPr>
          <w:rFonts w:ascii="Times New Roman" w:eastAsia="Times New Roman" w:hAnsi="Times New Roman" w:cs="Times New Roman"/>
        </w:rPr>
        <w:t>The HSI was developed by Marie Kenney while a student at Husson University in</w:t>
      </w:r>
    </w:p>
    <w:p w14:paraId="1667BBBE" w14:textId="77777777" w:rsidR="00F1177B" w:rsidRDefault="00000000">
      <w:pPr>
        <w:rPr>
          <w:rFonts w:ascii="Times New Roman" w:eastAsia="Times New Roman" w:hAnsi="Times New Roman" w:cs="Times New Roman"/>
        </w:rPr>
      </w:pPr>
      <w:r>
        <w:rPr>
          <w:rFonts w:ascii="Times New Roman" w:eastAsia="Times New Roman" w:hAnsi="Times New Roman" w:cs="Times New Roman"/>
        </w:rPr>
        <w:t>consultation with Associate Professor J. Douglas Wellington. The index is currently being</w:t>
      </w:r>
    </w:p>
    <w:p w14:paraId="249A13B5" w14:textId="77777777" w:rsidR="00F1177B" w:rsidRDefault="00000000">
      <w:pPr>
        <w:rPr>
          <w:rFonts w:ascii="Times New Roman" w:eastAsia="Times New Roman" w:hAnsi="Times New Roman" w:cs="Times New Roman"/>
        </w:rPr>
      </w:pPr>
      <w:r>
        <w:rPr>
          <w:rFonts w:ascii="Times New Roman" w:eastAsia="Times New Roman" w:hAnsi="Times New Roman" w:cs="Times New Roman"/>
        </w:rPr>
        <w:t xml:space="preserve">tracked and analyzed by Husson students Ray </w:t>
      </w:r>
      <w:proofErr w:type="spellStart"/>
      <w:r>
        <w:rPr>
          <w:rFonts w:ascii="Times New Roman" w:eastAsia="Times New Roman" w:hAnsi="Times New Roman" w:cs="Times New Roman"/>
        </w:rPr>
        <w:t>Intwari</w:t>
      </w:r>
      <w:proofErr w:type="spellEnd"/>
      <w:r>
        <w:rPr>
          <w:rFonts w:ascii="Times New Roman" w:eastAsia="Times New Roman" w:hAnsi="Times New Roman" w:cs="Times New Roman"/>
        </w:rPr>
        <w:t xml:space="preserve"> and Hugh Jack under the supervision of the Associate Professor of Finance, Dr. Jia Liu. The HSI currently tracks and analyzes the stocks of 24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p>
    <w:p w14:paraId="45F2DC9F" w14:textId="77777777" w:rsidR="00F1177B"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11069FC0" w14:textId="77777777" w:rsidR="00F1177B" w:rsidRDefault="00F1177B">
      <w:pPr>
        <w:jc w:val="center"/>
        <w:rPr>
          <w:rFonts w:ascii="Times New Roman" w:eastAsia="Times New Roman" w:hAnsi="Times New Roman" w:cs="Times New Roman"/>
          <w:b/>
          <w:bCs/>
        </w:rPr>
      </w:pPr>
    </w:p>
    <w:p w14:paraId="462B3003" w14:textId="77777777" w:rsidR="00F1177B" w:rsidRDefault="00F1177B">
      <w:pPr>
        <w:jc w:val="center"/>
        <w:rPr>
          <w:rFonts w:ascii="Times New Roman" w:eastAsia="Times New Roman" w:hAnsi="Times New Roman" w:cs="Times New Roman"/>
          <w:b/>
          <w:bCs/>
        </w:rPr>
      </w:pPr>
    </w:p>
    <w:p w14:paraId="01DDC3D4" w14:textId="77777777" w:rsidR="00F1177B" w:rsidRDefault="00F1177B">
      <w:pPr>
        <w:jc w:val="center"/>
        <w:rPr>
          <w:rFonts w:ascii="Times New Roman" w:eastAsia="Times New Roman" w:hAnsi="Times New Roman" w:cs="Times New Roman"/>
          <w:b/>
          <w:bCs/>
        </w:rPr>
      </w:pPr>
    </w:p>
    <w:p w14:paraId="33AE3C3C" w14:textId="77777777" w:rsidR="00F1177B"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References:</w:t>
      </w:r>
    </w:p>
    <w:p w14:paraId="3E49A7AF" w14:textId="77777777" w:rsidR="00F1177B" w:rsidRDefault="00F1177B">
      <w:pPr>
        <w:jc w:val="center"/>
        <w:rPr>
          <w:rFonts w:ascii="Times New Roman" w:eastAsia="Times New Roman" w:hAnsi="Times New Roman" w:cs="Times New Roman"/>
          <w:b/>
          <w:bCs/>
        </w:rPr>
      </w:pPr>
    </w:p>
    <w:p w14:paraId="2AB2C5E8" w14:textId="77777777" w:rsidR="00F1177B" w:rsidRDefault="00F1177B">
      <w:pPr>
        <w:rPr>
          <w:rFonts w:ascii="Times New Roman" w:eastAsia="Times New Roman" w:hAnsi="Times New Roman" w:cs="Times New Roman"/>
          <w:b/>
          <w:bCs/>
        </w:rPr>
      </w:pPr>
    </w:p>
    <w:p w14:paraId="275F2D40" w14:textId="77777777" w:rsidR="00F1177B" w:rsidRDefault="00F1177B">
      <w:pPr>
        <w:rPr>
          <w:rFonts w:ascii="Times New Roman" w:eastAsia="Times New Roman" w:hAnsi="Times New Roman" w:cs="Times New Roman"/>
          <w:color w:val="1155CC"/>
          <w:u w:val="single"/>
        </w:rPr>
      </w:pPr>
    </w:p>
    <w:p w14:paraId="0957AD2C" w14:textId="77777777" w:rsidR="00F1177B" w:rsidRDefault="00000000">
      <w:pPr>
        <w:rPr>
          <w:rFonts w:ascii="Times New Roman" w:eastAsia="Times New Roman" w:hAnsi="Times New Roman" w:cs="Times New Roman"/>
          <w:color w:val="1155CC"/>
          <w:u w:val="single"/>
        </w:rPr>
      </w:pPr>
      <w:r>
        <w:rPr>
          <w:rFonts w:ascii="Times New Roman" w:eastAsia="Times New Roman" w:hAnsi="Times New Roman" w:cs="Times New Roman"/>
          <w:color w:val="1155CC"/>
          <w:u w:val="single"/>
        </w:rPr>
        <w:t xml:space="preserve">Ponciano, J. (2025, November 27). *Why this private equity-style fund just bet $17 million on Lumen Technologies </w:t>
      </w:r>
      <w:proofErr w:type="gramStart"/>
      <w:r>
        <w:rPr>
          <w:rFonts w:ascii="Times New Roman" w:eastAsia="Times New Roman" w:hAnsi="Times New Roman" w:cs="Times New Roman"/>
          <w:color w:val="1155CC"/>
          <w:u w:val="single"/>
        </w:rPr>
        <w:t>stock.*</w:t>
      </w:r>
      <w:proofErr w:type="gramEnd"/>
      <w:r>
        <w:rPr>
          <w:rFonts w:ascii="Times New Roman" w:eastAsia="Times New Roman" w:hAnsi="Times New Roman" w:cs="Times New Roman"/>
          <w:color w:val="1155CC"/>
          <w:u w:val="single"/>
        </w:rPr>
        <w:t xml:space="preserve"> Nasdaq.</w:t>
      </w:r>
    </w:p>
    <w:p w14:paraId="039B17F3" w14:textId="77777777" w:rsidR="00F1177B" w:rsidRDefault="00000000">
      <w:pPr>
        <w:rPr>
          <w:rFonts w:ascii="Times New Roman" w:eastAsia="Times New Roman" w:hAnsi="Times New Roman" w:cs="Times New Roman"/>
          <w:color w:val="1155CC"/>
          <w:u w:val="single"/>
        </w:rPr>
      </w:pPr>
      <w:r>
        <w:rPr>
          <w:rFonts w:ascii="Times New Roman" w:eastAsia="Times New Roman" w:hAnsi="Times New Roman" w:cs="Times New Roman"/>
          <w:color w:val="1155CC"/>
          <w:u w:val="single"/>
        </w:rPr>
        <w:t>https://www.nasdaq.com/articles/why-private-equity-style-fund-just-bet-17-million-lumen-technologies-stock</w:t>
      </w:r>
    </w:p>
    <w:p w14:paraId="6FF28A22" w14:textId="77777777" w:rsidR="00F1177B" w:rsidRDefault="00F1177B">
      <w:pPr>
        <w:rPr>
          <w:rFonts w:ascii="Times New Roman" w:eastAsia="Times New Roman" w:hAnsi="Times New Roman" w:cs="Times New Roman"/>
          <w:color w:val="1155CC"/>
          <w:u w:val="single"/>
        </w:rPr>
      </w:pPr>
    </w:p>
    <w:p w14:paraId="46AA37C8" w14:textId="77777777" w:rsidR="00F1177B" w:rsidRDefault="00000000">
      <w:pPr>
        <w:rPr>
          <w:rFonts w:ascii="Times New Roman" w:eastAsia="Times New Roman" w:hAnsi="Times New Roman" w:cs="Times New Roman"/>
          <w:color w:val="1155CC"/>
          <w:u w:val="single"/>
        </w:rPr>
      </w:pPr>
      <w:proofErr w:type="spellStart"/>
      <w:r>
        <w:rPr>
          <w:rFonts w:ascii="Times New Roman" w:eastAsia="Times New Roman" w:hAnsi="Times New Roman" w:cs="Times New Roman"/>
          <w:color w:val="1155CC"/>
          <w:u w:val="single"/>
        </w:rPr>
        <w:t>MarketBeat</w:t>
      </w:r>
      <w:proofErr w:type="spellEnd"/>
      <w:r>
        <w:rPr>
          <w:rFonts w:ascii="Times New Roman" w:eastAsia="Times New Roman" w:hAnsi="Times New Roman" w:cs="Times New Roman"/>
          <w:color w:val="1155CC"/>
          <w:u w:val="single"/>
        </w:rPr>
        <w:t>. (2025, November 28). *Boston Partners raises stake in Northeast Bancorp (NBN</w:t>
      </w:r>
      <w:proofErr w:type="gramStart"/>
      <w:r>
        <w:rPr>
          <w:rFonts w:ascii="Times New Roman" w:eastAsia="Times New Roman" w:hAnsi="Times New Roman" w:cs="Times New Roman"/>
          <w:color w:val="1155CC"/>
          <w:u w:val="single"/>
        </w:rPr>
        <w:t>).*</w:t>
      </w:r>
      <w:proofErr w:type="gramEnd"/>
      <w:r>
        <w:rPr>
          <w:rFonts w:ascii="Times New Roman" w:eastAsia="Times New Roman" w:hAnsi="Times New Roman" w:cs="Times New Roman"/>
          <w:color w:val="1155CC"/>
          <w:u w:val="single"/>
        </w:rPr>
        <w:t xml:space="preserve"> </w:t>
      </w:r>
    </w:p>
    <w:p w14:paraId="0B2AD00C" w14:textId="77777777" w:rsidR="00F1177B" w:rsidRDefault="00000000">
      <w:pPr>
        <w:rPr>
          <w:rFonts w:ascii="Times New Roman" w:eastAsia="Times New Roman" w:hAnsi="Times New Roman" w:cs="Times New Roman"/>
          <w:color w:val="1155CC"/>
          <w:u w:val="single"/>
        </w:rPr>
      </w:pPr>
      <w:r>
        <w:rPr>
          <w:rFonts w:ascii="Times New Roman" w:eastAsia="Times New Roman" w:hAnsi="Times New Roman" w:cs="Times New Roman"/>
          <w:color w:val="1155CC"/>
          <w:u w:val="single"/>
        </w:rPr>
        <w:t>https://www.marketbeat.com/instant-alerts/filing-boston-partners-acquires-4018-shares-of-northeast-bancorp-nbn-2025-11-28/</w:t>
      </w:r>
    </w:p>
    <w:p w14:paraId="047C0E6A" w14:textId="77777777" w:rsidR="00F1177B" w:rsidRDefault="00F1177B">
      <w:pPr>
        <w:rPr>
          <w:rFonts w:ascii="Times New Roman" w:eastAsia="Times New Roman" w:hAnsi="Times New Roman" w:cs="Times New Roman"/>
          <w:color w:val="1155CC"/>
          <w:u w:val="single"/>
        </w:rPr>
      </w:pPr>
    </w:p>
    <w:p w14:paraId="2641B8E0" w14:textId="77777777" w:rsidR="00F1177B" w:rsidRDefault="00000000">
      <w:pPr>
        <w:rPr>
          <w:rFonts w:ascii="Times New Roman" w:eastAsia="Times New Roman" w:hAnsi="Times New Roman" w:cs="Times New Roman"/>
          <w:color w:val="1155CC"/>
          <w:u w:val="single"/>
        </w:rPr>
      </w:pPr>
      <w:r>
        <w:rPr>
          <w:rFonts w:ascii="Times New Roman" w:eastAsia="Times New Roman" w:hAnsi="Times New Roman" w:cs="Times New Roman"/>
          <w:color w:val="1155CC"/>
          <w:u w:val="single"/>
        </w:rPr>
        <w:t xml:space="preserve">Investing.com. (2025). *Charter Communications (CHTR) technical &amp; fundamentals </w:t>
      </w:r>
      <w:proofErr w:type="gramStart"/>
      <w:r>
        <w:rPr>
          <w:rFonts w:ascii="Times New Roman" w:eastAsia="Times New Roman" w:hAnsi="Times New Roman" w:cs="Times New Roman"/>
          <w:color w:val="1155CC"/>
          <w:u w:val="single"/>
        </w:rPr>
        <w:t>overview.*</w:t>
      </w:r>
      <w:proofErr w:type="gramEnd"/>
    </w:p>
    <w:p w14:paraId="425E1DFA" w14:textId="77777777" w:rsidR="00F1177B" w:rsidRDefault="00000000">
      <w:pPr>
        <w:rPr>
          <w:rFonts w:ascii="Times New Roman" w:eastAsia="Times New Roman" w:hAnsi="Times New Roman" w:cs="Times New Roman"/>
          <w:color w:val="1155CC"/>
          <w:u w:val="single"/>
        </w:rPr>
      </w:pPr>
      <w:r>
        <w:rPr>
          <w:rFonts w:ascii="Times New Roman" w:eastAsia="Times New Roman" w:hAnsi="Times New Roman" w:cs="Times New Roman"/>
          <w:color w:val="1155CC"/>
          <w:u w:val="single"/>
        </w:rPr>
        <w:t>https://www.investing.com</w:t>
      </w:r>
    </w:p>
    <w:p w14:paraId="2FB0C6EE" w14:textId="77777777" w:rsidR="00F1177B" w:rsidRDefault="00F1177B">
      <w:pPr>
        <w:rPr>
          <w:rFonts w:ascii="Times New Roman" w:eastAsia="Times New Roman" w:hAnsi="Times New Roman" w:cs="Times New Roman"/>
          <w:color w:val="1155CC"/>
          <w:u w:val="single"/>
        </w:rPr>
      </w:pPr>
    </w:p>
    <w:p w14:paraId="2BCC5A66" w14:textId="77777777" w:rsidR="00F1177B" w:rsidRDefault="00000000">
      <w:pPr>
        <w:rPr>
          <w:rFonts w:ascii="Times New Roman" w:eastAsia="Times New Roman" w:hAnsi="Times New Roman" w:cs="Times New Roman"/>
          <w:color w:val="1155CC"/>
          <w:u w:val="single"/>
        </w:rPr>
      </w:pPr>
      <w:r>
        <w:rPr>
          <w:rFonts w:ascii="Times New Roman" w:eastAsia="Times New Roman" w:hAnsi="Times New Roman" w:cs="Times New Roman"/>
          <w:color w:val="1155CC"/>
          <w:u w:val="single"/>
        </w:rPr>
        <w:t xml:space="preserve">Yahoo Finance. (2025, November). *Evaluating Colgate-Palmolive’s (CL) valuation following recent share </w:t>
      </w:r>
      <w:proofErr w:type="gramStart"/>
      <w:r>
        <w:rPr>
          <w:rFonts w:ascii="Times New Roman" w:eastAsia="Times New Roman" w:hAnsi="Times New Roman" w:cs="Times New Roman"/>
          <w:color w:val="1155CC"/>
          <w:u w:val="single"/>
        </w:rPr>
        <w:t>movements.*</w:t>
      </w:r>
      <w:proofErr w:type="gramEnd"/>
    </w:p>
    <w:p w14:paraId="59B4CEE6" w14:textId="77777777" w:rsidR="00F1177B" w:rsidRDefault="00000000">
      <w:pPr>
        <w:rPr>
          <w:rFonts w:ascii="Times New Roman" w:eastAsia="Times New Roman" w:hAnsi="Times New Roman" w:cs="Times New Roman"/>
          <w:color w:val="1155CC"/>
          <w:u w:val="single"/>
        </w:rPr>
      </w:pPr>
      <w:r>
        <w:rPr>
          <w:rFonts w:ascii="Times New Roman" w:eastAsia="Times New Roman" w:hAnsi="Times New Roman" w:cs="Times New Roman"/>
          <w:color w:val="1155CC"/>
          <w:u w:val="single"/>
        </w:rPr>
        <w:t>https://finance.yahoo.com/news/evaluating-colgate-palmolives-cl-valuation-220718243.html</w:t>
      </w:r>
    </w:p>
    <w:p w14:paraId="08723137" w14:textId="77777777" w:rsidR="00F1177B" w:rsidRDefault="00F1177B">
      <w:pPr>
        <w:rPr>
          <w:rFonts w:ascii="Times New Roman" w:eastAsia="Times New Roman" w:hAnsi="Times New Roman" w:cs="Times New Roman"/>
          <w:color w:val="1155CC"/>
          <w:u w:val="single"/>
        </w:rPr>
      </w:pPr>
    </w:p>
    <w:p w14:paraId="1FD6AE6D" w14:textId="77777777" w:rsidR="00F1177B" w:rsidRDefault="00F1177B">
      <w:pPr>
        <w:rPr>
          <w:rFonts w:ascii="Times New Roman" w:eastAsia="Times New Roman" w:hAnsi="Times New Roman" w:cs="Times New Roman"/>
          <w:color w:val="1155CC"/>
          <w:u w:val="single"/>
        </w:rPr>
      </w:pPr>
    </w:p>
    <w:p w14:paraId="09EE3BDB" w14:textId="77777777" w:rsidR="00F1177B" w:rsidRDefault="00F1177B">
      <w:pPr>
        <w:rPr>
          <w:rFonts w:ascii="Times New Roman" w:eastAsia="Times New Roman" w:hAnsi="Times New Roman" w:cs="Times New Roman"/>
        </w:rPr>
      </w:pPr>
    </w:p>
    <w:p w14:paraId="137AF323" w14:textId="77777777" w:rsidR="00F1177B" w:rsidRDefault="00F1177B">
      <w:pPr>
        <w:rPr>
          <w:rFonts w:ascii="Times New Roman" w:eastAsia="Times New Roman" w:hAnsi="Times New Roman" w:cs="Times New Roman"/>
        </w:rPr>
      </w:pPr>
    </w:p>
    <w:p w14:paraId="6ECE507E" w14:textId="77777777" w:rsidR="00F1177B" w:rsidRDefault="00F1177B">
      <w:pPr>
        <w:rPr>
          <w:rFonts w:ascii="Times New Roman" w:eastAsia="Times New Roman" w:hAnsi="Times New Roman" w:cs="Times New Roman"/>
          <w:sz w:val="24"/>
          <w:szCs w:val="24"/>
        </w:rPr>
      </w:pPr>
    </w:p>
    <w:p w14:paraId="7BF2D640" w14:textId="77777777" w:rsidR="00F1177B" w:rsidRDefault="00F1177B">
      <w:pPr>
        <w:rPr>
          <w:rFonts w:ascii="Times New Roman" w:eastAsia="Times New Roman" w:hAnsi="Times New Roman" w:cs="Times New Roman"/>
          <w:sz w:val="24"/>
          <w:szCs w:val="24"/>
        </w:rPr>
      </w:pPr>
    </w:p>
    <w:p w14:paraId="2E12456B" w14:textId="77777777" w:rsidR="00F1177B" w:rsidRDefault="00F1177B">
      <w:pPr>
        <w:rPr>
          <w:rFonts w:ascii="Times New Roman" w:eastAsia="Times New Roman" w:hAnsi="Times New Roman" w:cs="Times New Roman"/>
          <w:sz w:val="28"/>
          <w:szCs w:val="28"/>
        </w:rPr>
      </w:pPr>
    </w:p>
    <w:p w14:paraId="0DFDF091" w14:textId="77777777" w:rsidR="00F1177B" w:rsidRDefault="00F1177B">
      <w:pPr>
        <w:jc w:val="center"/>
        <w:rPr>
          <w:rFonts w:ascii="Times New Roman" w:eastAsia="Times New Roman" w:hAnsi="Times New Roman" w:cs="Times New Roman"/>
          <w:sz w:val="28"/>
          <w:szCs w:val="28"/>
        </w:rPr>
      </w:pPr>
    </w:p>
    <w:p w14:paraId="6202A438" w14:textId="77777777" w:rsidR="00F1177B"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Composition of Husson Stock Index (HSI)</w:t>
      </w:r>
    </w:p>
    <w:tbl>
      <w:tblPr>
        <w:tblStyle w:val="a1"/>
        <w:tblW w:w="936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1177B" w14:paraId="53CA2E88" w14:textId="77777777">
        <w:tc>
          <w:tcPr>
            <w:tcW w:w="2340" w:type="dxa"/>
            <w:tcMar>
              <w:top w:w="100" w:type="dxa"/>
              <w:left w:w="100" w:type="dxa"/>
              <w:bottom w:w="100" w:type="dxa"/>
              <w:right w:w="100" w:type="dxa"/>
            </w:tcMar>
          </w:tcPr>
          <w:p w14:paraId="1A62E55E"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Ticker symbol: Exchange</w:t>
            </w:r>
          </w:p>
        </w:tc>
        <w:tc>
          <w:tcPr>
            <w:tcW w:w="2340" w:type="dxa"/>
            <w:tcMar>
              <w:top w:w="100" w:type="dxa"/>
              <w:left w:w="100" w:type="dxa"/>
              <w:bottom w:w="100" w:type="dxa"/>
              <w:right w:w="100" w:type="dxa"/>
            </w:tcMar>
          </w:tcPr>
          <w:p w14:paraId="5F0605A3"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Stock </w:t>
            </w:r>
          </w:p>
        </w:tc>
        <w:tc>
          <w:tcPr>
            <w:tcW w:w="2340" w:type="dxa"/>
            <w:tcMar>
              <w:top w:w="100" w:type="dxa"/>
              <w:left w:w="100" w:type="dxa"/>
              <w:bottom w:w="100" w:type="dxa"/>
              <w:right w:w="100" w:type="dxa"/>
            </w:tcMar>
          </w:tcPr>
          <w:p w14:paraId="05132ACA"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 Affiliation</w:t>
            </w:r>
          </w:p>
        </w:tc>
        <w:tc>
          <w:tcPr>
            <w:tcW w:w="2340" w:type="dxa"/>
            <w:tcMar>
              <w:top w:w="100" w:type="dxa"/>
              <w:left w:w="100" w:type="dxa"/>
              <w:bottom w:w="100" w:type="dxa"/>
              <w:right w:w="100" w:type="dxa"/>
            </w:tcMar>
          </w:tcPr>
          <w:p w14:paraId="4B5D426D"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Sector</w:t>
            </w:r>
          </w:p>
        </w:tc>
      </w:tr>
      <w:tr w:rsidR="00F1177B" w14:paraId="3B3C5755" w14:textId="77777777">
        <w:tc>
          <w:tcPr>
            <w:tcW w:w="2340" w:type="dxa"/>
            <w:tcMar>
              <w:top w:w="100" w:type="dxa"/>
              <w:left w:w="100" w:type="dxa"/>
              <w:bottom w:w="100" w:type="dxa"/>
              <w:right w:w="100" w:type="dxa"/>
            </w:tcMar>
          </w:tcPr>
          <w:p w14:paraId="0E67F69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BAC: NYSE</w:t>
            </w:r>
          </w:p>
        </w:tc>
        <w:tc>
          <w:tcPr>
            <w:tcW w:w="2340" w:type="dxa"/>
            <w:tcMar>
              <w:top w:w="100" w:type="dxa"/>
              <w:left w:w="100" w:type="dxa"/>
              <w:bottom w:w="100" w:type="dxa"/>
              <w:right w:w="100" w:type="dxa"/>
            </w:tcMar>
          </w:tcPr>
          <w:p w14:paraId="456AE660"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Bank of </w:t>
            </w:r>
            <w:proofErr w:type="spellStart"/>
            <w:r>
              <w:rPr>
                <w:rFonts w:ascii="Times New Roman" w:eastAsia="Times New Roman" w:hAnsi="Times New Roman" w:cs="Times New Roman"/>
              </w:rPr>
              <w:t>american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w:t>
            </w:r>
            <w:proofErr w:type="spellEnd"/>
          </w:p>
        </w:tc>
        <w:tc>
          <w:tcPr>
            <w:tcW w:w="2340" w:type="dxa"/>
            <w:tcMar>
              <w:top w:w="100" w:type="dxa"/>
              <w:left w:w="100" w:type="dxa"/>
              <w:bottom w:w="100" w:type="dxa"/>
              <w:right w:w="100" w:type="dxa"/>
            </w:tcMar>
          </w:tcPr>
          <w:p w14:paraId="3114D894"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7C5683B"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F1177B" w14:paraId="34073E31" w14:textId="77777777">
        <w:tc>
          <w:tcPr>
            <w:tcW w:w="2340" w:type="dxa"/>
            <w:tcMar>
              <w:top w:w="100" w:type="dxa"/>
              <w:left w:w="100" w:type="dxa"/>
              <w:bottom w:w="100" w:type="dxa"/>
              <w:right w:w="100" w:type="dxa"/>
            </w:tcMar>
          </w:tcPr>
          <w:p w14:paraId="14EF1EB0"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BHB: NYSE</w:t>
            </w:r>
          </w:p>
        </w:tc>
        <w:tc>
          <w:tcPr>
            <w:tcW w:w="2340" w:type="dxa"/>
            <w:tcMar>
              <w:top w:w="100" w:type="dxa"/>
              <w:left w:w="100" w:type="dxa"/>
              <w:bottom w:w="100" w:type="dxa"/>
              <w:right w:w="100" w:type="dxa"/>
            </w:tcMar>
          </w:tcPr>
          <w:p w14:paraId="3479125E"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Bar Harbor Bank</w:t>
            </w:r>
          </w:p>
        </w:tc>
        <w:tc>
          <w:tcPr>
            <w:tcW w:w="2340" w:type="dxa"/>
            <w:tcMar>
              <w:top w:w="100" w:type="dxa"/>
              <w:left w:w="100" w:type="dxa"/>
              <w:bottom w:w="100" w:type="dxa"/>
              <w:right w:w="100" w:type="dxa"/>
            </w:tcMar>
          </w:tcPr>
          <w:p w14:paraId="23C25E1E"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72A160B0"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F1177B" w14:paraId="43E2D222" w14:textId="77777777">
        <w:tc>
          <w:tcPr>
            <w:tcW w:w="2340" w:type="dxa"/>
            <w:tcMar>
              <w:top w:w="100" w:type="dxa"/>
              <w:left w:w="100" w:type="dxa"/>
              <w:bottom w:w="100" w:type="dxa"/>
              <w:right w:w="100" w:type="dxa"/>
            </w:tcMar>
          </w:tcPr>
          <w:p w14:paraId="14E9BA31"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CAC: NASDAQ</w:t>
            </w:r>
          </w:p>
        </w:tc>
        <w:tc>
          <w:tcPr>
            <w:tcW w:w="2340" w:type="dxa"/>
            <w:tcMar>
              <w:top w:w="100" w:type="dxa"/>
              <w:left w:w="100" w:type="dxa"/>
              <w:bottom w:w="100" w:type="dxa"/>
              <w:right w:w="100" w:type="dxa"/>
            </w:tcMar>
          </w:tcPr>
          <w:p w14:paraId="65989BDA"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Camden National Corporation</w:t>
            </w:r>
          </w:p>
        </w:tc>
        <w:tc>
          <w:tcPr>
            <w:tcW w:w="2340" w:type="dxa"/>
            <w:tcMar>
              <w:top w:w="100" w:type="dxa"/>
              <w:left w:w="100" w:type="dxa"/>
              <w:bottom w:w="100" w:type="dxa"/>
              <w:right w:w="100" w:type="dxa"/>
            </w:tcMar>
          </w:tcPr>
          <w:p w14:paraId="2A9FE0EC"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528498B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F1177B" w14:paraId="7DC9F1CE" w14:textId="77777777">
        <w:tc>
          <w:tcPr>
            <w:tcW w:w="2340" w:type="dxa"/>
            <w:tcMar>
              <w:top w:w="100" w:type="dxa"/>
              <w:left w:w="100" w:type="dxa"/>
              <w:bottom w:w="100" w:type="dxa"/>
              <w:right w:w="100" w:type="dxa"/>
            </w:tcMar>
          </w:tcPr>
          <w:p w14:paraId="6FA44AA6"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CHRT: NASDAQ</w:t>
            </w:r>
          </w:p>
        </w:tc>
        <w:tc>
          <w:tcPr>
            <w:tcW w:w="2340" w:type="dxa"/>
            <w:tcMar>
              <w:top w:w="100" w:type="dxa"/>
              <w:left w:w="100" w:type="dxa"/>
              <w:bottom w:w="100" w:type="dxa"/>
              <w:right w:w="100" w:type="dxa"/>
            </w:tcMar>
          </w:tcPr>
          <w:p w14:paraId="0CD0BC84"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Charter Communications, Inc.</w:t>
            </w:r>
          </w:p>
        </w:tc>
        <w:tc>
          <w:tcPr>
            <w:tcW w:w="2340" w:type="dxa"/>
            <w:tcMar>
              <w:top w:w="100" w:type="dxa"/>
              <w:left w:w="100" w:type="dxa"/>
              <w:bottom w:w="100" w:type="dxa"/>
              <w:right w:w="100" w:type="dxa"/>
            </w:tcMar>
          </w:tcPr>
          <w:p w14:paraId="3EDCD15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8570790"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Communication Services</w:t>
            </w:r>
          </w:p>
        </w:tc>
      </w:tr>
      <w:tr w:rsidR="00F1177B" w14:paraId="2CACA548" w14:textId="77777777">
        <w:tc>
          <w:tcPr>
            <w:tcW w:w="2340" w:type="dxa"/>
            <w:tcMar>
              <w:top w:w="100" w:type="dxa"/>
              <w:left w:w="100" w:type="dxa"/>
              <w:bottom w:w="100" w:type="dxa"/>
              <w:right w:w="100" w:type="dxa"/>
            </w:tcMar>
          </w:tcPr>
          <w:p w14:paraId="474E6B83"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CL: NYSE</w:t>
            </w:r>
          </w:p>
        </w:tc>
        <w:tc>
          <w:tcPr>
            <w:tcW w:w="2340" w:type="dxa"/>
            <w:tcMar>
              <w:top w:w="100" w:type="dxa"/>
              <w:left w:w="100" w:type="dxa"/>
              <w:bottom w:w="100" w:type="dxa"/>
              <w:right w:w="100" w:type="dxa"/>
            </w:tcMar>
          </w:tcPr>
          <w:p w14:paraId="267F6E36" w14:textId="77777777" w:rsidR="00F1177B"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Colgate-palmolive</w:t>
            </w:r>
            <w:proofErr w:type="spellEnd"/>
            <w:r>
              <w:rPr>
                <w:rFonts w:ascii="Times New Roman" w:eastAsia="Times New Roman" w:hAnsi="Times New Roman" w:cs="Times New Roman"/>
              </w:rPr>
              <w:t xml:space="preserve"> Company</w:t>
            </w:r>
          </w:p>
        </w:tc>
        <w:tc>
          <w:tcPr>
            <w:tcW w:w="2340" w:type="dxa"/>
            <w:tcMar>
              <w:top w:w="100" w:type="dxa"/>
              <w:left w:w="100" w:type="dxa"/>
              <w:bottom w:w="100" w:type="dxa"/>
              <w:right w:w="100" w:type="dxa"/>
            </w:tcMar>
          </w:tcPr>
          <w:p w14:paraId="01B3DD7F"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6C44F660"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Staples</w:t>
            </w:r>
          </w:p>
        </w:tc>
      </w:tr>
      <w:tr w:rsidR="00F1177B" w14:paraId="66BBDD24" w14:textId="77777777">
        <w:tc>
          <w:tcPr>
            <w:tcW w:w="2340" w:type="dxa"/>
            <w:tcMar>
              <w:top w:w="100" w:type="dxa"/>
              <w:left w:w="100" w:type="dxa"/>
              <w:bottom w:w="100" w:type="dxa"/>
              <w:right w:w="100" w:type="dxa"/>
            </w:tcMar>
          </w:tcPr>
          <w:p w14:paraId="764D94D8"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DRI: NYSE</w:t>
            </w:r>
          </w:p>
        </w:tc>
        <w:tc>
          <w:tcPr>
            <w:tcW w:w="2340" w:type="dxa"/>
            <w:tcMar>
              <w:top w:w="100" w:type="dxa"/>
              <w:left w:w="100" w:type="dxa"/>
              <w:bottom w:w="100" w:type="dxa"/>
              <w:right w:w="100" w:type="dxa"/>
            </w:tcMar>
          </w:tcPr>
          <w:p w14:paraId="19540C9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Darden Restaurants, Inc.</w:t>
            </w:r>
          </w:p>
        </w:tc>
        <w:tc>
          <w:tcPr>
            <w:tcW w:w="2340" w:type="dxa"/>
            <w:tcMar>
              <w:top w:w="100" w:type="dxa"/>
              <w:left w:w="100" w:type="dxa"/>
              <w:bottom w:w="100" w:type="dxa"/>
              <w:right w:w="100" w:type="dxa"/>
            </w:tcMar>
          </w:tcPr>
          <w:p w14:paraId="4872F84F"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DACBC2C"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F1177B" w14:paraId="2E95BB9B" w14:textId="77777777">
        <w:tc>
          <w:tcPr>
            <w:tcW w:w="2340" w:type="dxa"/>
            <w:tcMar>
              <w:top w:w="100" w:type="dxa"/>
              <w:left w:w="100" w:type="dxa"/>
              <w:bottom w:w="100" w:type="dxa"/>
              <w:right w:w="100" w:type="dxa"/>
            </w:tcMar>
          </w:tcPr>
          <w:p w14:paraId="501FA357"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FNLC: NASDAQ</w:t>
            </w:r>
          </w:p>
        </w:tc>
        <w:tc>
          <w:tcPr>
            <w:tcW w:w="2340" w:type="dxa"/>
            <w:tcMar>
              <w:top w:w="100" w:type="dxa"/>
              <w:left w:w="100" w:type="dxa"/>
              <w:bottom w:w="100" w:type="dxa"/>
              <w:right w:w="100" w:type="dxa"/>
            </w:tcMar>
          </w:tcPr>
          <w:p w14:paraId="68CA24B5"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First Bancorp, Inc.</w:t>
            </w:r>
          </w:p>
        </w:tc>
        <w:tc>
          <w:tcPr>
            <w:tcW w:w="2340" w:type="dxa"/>
            <w:tcMar>
              <w:top w:w="100" w:type="dxa"/>
              <w:left w:w="100" w:type="dxa"/>
              <w:bottom w:w="100" w:type="dxa"/>
              <w:right w:w="100" w:type="dxa"/>
            </w:tcMar>
          </w:tcPr>
          <w:p w14:paraId="2DEF275F"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4AC62567"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F1177B" w14:paraId="64CE906C" w14:textId="77777777">
        <w:tc>
          <w:tcPr>
            <w:tcW w:w="2340" w:type="dxa"/>
            <w:tcMar>
              <w:top w:w="100" w:type="dxa"/>
              <w:left w:w="100" w:type="dxa"/>
              <w:bottom w:w="100" w:type="dxa"/>
              <w:right w:w="100" w:type="dxa"/>
            </w:tcMar>
          </w:tcPr>
          <w:p w14:paraId="414B055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GD: NYSE</w:t>
            </w:r>
          </w:p>
        </w:tc>
        <w:tc>
          <w:tcPr>
            <w:tcW w:w="2340" w:type="dxa"/>
            <w:tcMar>
              <w:top w:w="100" w:type="dxa"/>
              <w:left w:w="100" w:type="dxa"/>
              <w:bottom w:w="100" w:type="dxa"/>
              <w:right w:w="100" w:type="dxa"/>
            </w:tcMar>
          </w:tcPr>
          <w:p w14:paraId="7617F6B9"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General Dynamics Corporation</w:t>
            </w:r>
          </w:p>
        </w:tc>
        <w:tc>
          <w:tcPr>
            <w:tcW w:w="2340" w:type="dxa"/>
            <w:tcMar>
              <w:top w:w="100" w:type="dxa"/>
              <w:left w:w="100" w:type="dxa"/>
              <w:bottom w:w="100" w:type="dxa"/>
              <w:right w:w="100" w:type="dxa"/>
            </w:tcMar>
          </w:tcPr>
          <w:p w14:paraId="1061128B"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7111138"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F1177B" w14:paraId="1EA59805" w14:textId="77777777">
        <w:tc>
          <w:tcPr>
            <w:tcW w:w="2340" w:type="dxa"/>
            <w:tcMar>
              <w:top w:w="100" w:type="dxa"/>
              <w:left w:w="100" w:type="dxa"/>
              <w:bottom w:w="100" w:type="dxa"/>
              <w:right w:w="100" w:type="dxa"/>
            </w:tcMar>
          </w:tcPr>
          <w:p w14:paraId="63875B78"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HLT: NYSE</w:t>
            </w:r>
          </w:p>
        </w:tc>
        <w:tc>
          <w:tcPr>
            <w:tcW w:w="2340" w:type="dxa"/>
            <w:tcMar>
              <w:top w:w="100" w:type="dxa"/>
              <w:left w:w="100" w:type="dxa"/>
              <w:bottom w:w="100" w:type="dxa"/>
              <w:right w:w="100" w:type="dxa"/>
            </w:tcMar>
          </w:tcPr>
          <w:p w14:paraId="5ACCFB6F"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Hilton Worldwide Holding, Inc.</w:t>
            </w:r>
          </w:p>
        </w:tc>
        <w:tc>
          <w:tcPr>
            <w:tcW w:w="2340" w:type="dxa"/>
            <w:tcMar>
              <w:top w:w="100" w:type="dxa"/>
              <w:left w:w="100" w:type="dxa"/>
              <w:bottom w:w="100" w:type="dxa"/>
              <w:right w:w="100" w:type="dxa"/>
            </w:tcMar>
          </w:tcPr>
          <w:p w14:paraId="04D6C04C"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D9BD776"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F1177B" w14:paraId="7CA2AA2A" w14:textId="77777777">
        <w:tc>
          <w:tcPr>
            <w:tcW w:w="2340" w:type="dxa"/>
            <w:tcMar>
              <w:top w:w="100" w:type="dxa"/>
              <w:left w:w="100" w:type="dxa"/>
              <w:bottom w:w="100" w:type="dxa"/>
              <w:right w:w="100" w:type="dxa"/>
            </w:tcMar>
          </w:tcPr>
          <w:p w14:paraId="51C5BC9A"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HD: NYSE</w:t>
            </w:r>
          </w:p>
        </w:tc>
        <w:tc>
          <w:tcPr>
            <w:tcW w:w="2340" w:type="dxa"/>
            <w:tcMar>
              <w:top w:w="100" w:type="dxa"/>
              <w:left w:w="100" w:type="dxa"/>
              <w:bottom w:w="100" w:type="dxa"/>
              <w:right w:w="100" w:type="dxa"/>
            </w:tcMar>
          </w:tcPr>
          <w:p w14:paraId="29E1300C"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Home Depot, Inc.</w:t>
            </w:r>
          </w:p>
        </w:tc>
        <w:tc>
          <w:tcPr>
            <w:tcW w:w="2340" w:type="dxa"/>
            <w:tcMar>
              <w:top w:w="100" w:type="dxa"/>
              <w:left w:w="100" w:type="dxa"/>
              <w:bottom w:w="100" w:type="dxa"/>
              <w:right w:w="100" w:type="dxa"/>
            </w:tcMar>
          </w:tcPr>
          <w:p w14:paraId="3EFCF681"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9898AE8"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F1177B" w14:paraId="5F725265" w14:textId="77777777">
        <w:tc>
          <w:tcPr>
            <w:tcW w:w="2340" w:type="dxa"/>
            <w:tcMar>
              <w:top w:w="100" w:type="dxa"/>
              <w:left w:w="100" w:type="dxa"/>
              <w:bottom w:w="100" w:type="dxa"/>
              <w:right w:w="100" w:type="dxa"/>
            </w:tcMar>
          </w:tcPr>
          <w:p w14:paraId="0766FCD4"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ICC: NASDAQ</w:t>
            </w:r>
          </w:p>
        </w:tc>
        <w:tc>
          <w:tcPr>
            <w:tcW w:w="2340" w:type="dxa"/>
            <w:tcMar>
              <w:top w:w="100" w:type="dxa"/>
              <w:left w:w="100" w:type="dxa"/>
              <w:bottom w:w="100" w:type="dxa"/>
              <w:right w:w="100" w:type="dxa"/>
            </w:tcMar>
          </w:tcPr>
          <w:p w14:paraId="14FE1654" w14:textId="77777777" w:rsidR="00F1177B"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w:t>
            </w:r>
          </w:p>
        </w:tc>
        <w:tc>
          <w:tcPr>
            <w:tcW w:w="2340" w:type="dxa"/>
            <w:tcMar>
              <w:top w:w="100" w:type="dxa"/>
              <w:left w:w="100" w:type="dxa"/>
              <w:bottom w:w="100" w:type="dxa"/>
              <w:right w:w="100" w:type="dxa"/>
            </w:tcMar>
          </w:tcPr>
          <w:p w14:paraId="72AB48AA"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00F8BC8"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F1177B" w14:paraId="3627CE75" w14:textId="77777777">
        <w:tc>
          <w:tcPr>
            <w:tcW w:w="2340" w:type="dxa"/>
            <w:tcMar>
              <w:top w:w="100" w:type="dxa"/>
              <w:left w:w="100" w:type="dxa"/>
              <w:bottom w:w="100" w:type="dxa"/>
              <w:right w:w="100" w:type="dxa"/>
            </w:tcMar>
          </w:tcPr>
          <w:p w14:paraId="3FCFC54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IDXX: NASDAQ</w:t>
            </w:r>
          </w:p>
        </w:tc>
        <w:tc>
          <w:tcPr>
            <w:tcW w:w="2340" w:type="dxa"/>
            <w:tcMar>
              <w:top w:w="100" w:type="dxa"/>
              <w:left w:w="100" w:type="dxa"/>
              <w:bottom w:w="100" w:type="dxa"/>
              <w:right w:w="100" w:type="dxa"/>
            </w:tcMar>
          </w:tcPr>
          <w:p w14:paraId="20CF4347"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IDEXX Laboratories, Inc.</w:t>
            </w:r>
          </w:p>
        </w:tc>
        <w:tc>
          <w:tcPr>
            <w:tcW w:w="2340" w:type="dxa"/>
            <w:tcMar>
              <w:top w:w="100" w:type="dxa"/>
              <w:left w:w="100" w:type="dxa"/>
              <w:bottom w:w="100" w:type="dxa"/>
              <w:right w:w="100" w:type="dxa"/>
            </w:tcMar>
          </w:tcPr>
          <w:p w14:paraId="4A54CD83"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25D08CF"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F1177B" w14:paraId="08B27101" w14:textId="77777777">
        <w:tc>
          <w:tcPr>
            <w:tcW w:w="2340" w:type="dxa"/>
            <w:tcMar>
              <w:top w:w="100" w:type="dxa"/>
              <w:left w:w="100" w:type="dxa"/>
              <w:bottom w:w="100" w:type="dxa"/>
              <w:right w:w="100" w:type="dxa"/>
            </w:tcMar>
          </w:tcPr>
          <w:p w14:paraId="30282F81"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 NYSE</w:t>
            </w:r>
          </w:p>
        </w:tc>
        <w:tc>
          <w:tcPr>
            <w:tcW w:w="2340" w:type="dxa"/>
            <w:tcMar>
              <w:top w:w="100" w:type="dxa"/>
              <w:left w:w="100" w:type="dxa"/>
              <w:bottom w:w="100" w:type="dxa"/>
              <w:right w:w="100" w:type="dxa"/>
            </w:tcMar>
          </w:tcPr>
          <w:p w14:paraId="10B328E7"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Lowe’s Companies, Inc.</w:t>
            </w:r>
          </w:p>
        </w:tc>
        <w:tc>
          <w:tcPr>
            <w:tcW w:w="2340" w:type="dxa"/>
            <w:tcMar>
              <w:top w:w="100" w:type="dxa"/>
              <w:left w:w="100" w:type="dxa"/>
              <w:bottom w:w="100" w:type="dxa"/>
              <w:right w:w="100" w:type="dxa"/>
            </w:tcMar>
          </w:tcPr>
          <w:p w14:paraId="4434F2DF"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E561D65"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F1177B" w14:paraId="51ADD78C" w14:textId="77777777">
        <w:tc>
          <w:tcPr>
            <w:tcW w:w="2340" w:type="dxa"/>
            <w:tcMar>
              <w:top w:w="100" w:type="dxa"/>
              <w:left w:w="100" w:type="dxa"/>
              <w:bottom w:w="100" w:type="dxa"/>
              <w:right w:w="100" w:type="dxa"/>
            </w:tcMar>
          </w:tcPr>
          <w:p w14:paraId="40A5E783"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 NYSE</w:t>
            </w:r>
          </w:p>
        </w:tc>
        <w:tc>
          <w:tcPr>
            <w:tcW w:w="2340" w:type="dxa"/>
            <w:tcMar>
              <w:top w:w="100" w:type="dxa"/>
              <w:left w:w="100" w:type="dxa"/>
              <w:bottom w:w="100" w:type="dxa"/>
              <w:right w:w="100" w:type="dxa"/>
            </w:tcMar>
          </w:tcPr>
          <w:p w14:paraId="37AF769D"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McDonalds Corporation</w:t>
            </w:r>
          </w:p>
        </w:tc>
        <w:tc>
          <w:tcPr>
            <w:tcW w:w="2340" w:type="dxa"/>
            <w:tcMar>
              <w:top w:w="100" w:type="dxa"/>
              <w:left w:w="100" w:type="dxa"/>
              <w:bottom w:w="100" w:type="dxa"/>
              <w:right w:w="100" w:type="dxa"/>
            </w:tcMar>
          </w:tcPr>
          <w:p w14:paraId="61663FB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AA687A0"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F1177B" w14:paraId="6E66E3EF" w14:textId="77777777">
        <w:tc>
          <w:tcPr>
            <w:tcW w:w="2340" w:type="dxa"/>
            <w:tcMar>
              <w:top w:w="100" w:type="dxa"/>
              <w:left w:w="100" w:type="dxa"/>
              <w:bottom w:w="100" w:type="dxa"/>
              <w:right w:w="100" w:type="dxa"/>
            </w:tcMar>
          </w:tcPr>
          <w:p w14:paraId="1532E835"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NBN: NASDAQ</w:t>
            </w:r>
          </w:p>
        </w:tc>
        <w:tc>
          <w:tcPr>
            <w:tcW w:w="2340" w:type="dxa"/>
            <w:tcMar>
              <w:top w:w="100" w:type="dxa"/>
              <w:left w:w="100" w:type="dxa"/>
              <w:bottom w:w="100" w:type="dxa"/>
              <w:right w:w="100" w:type="dxa"/>
            </w:tcMar>
          </w:tcPr>
          <w:p w14:paraId="5D0304A1"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Northeast Bank</w:t>
            </w:r>
          </w:p>
        </w:tc>
        <w:tc>
          <w:tcPr>
            <w:tcW w:w="2340" w:type="dxa"/>
            <w:tcMar>
              <w:top w:w="100" w:type="dxa"/>
              <w:left w:w="100" w:type="dxa"/>
              <w:bottom w:w="100" w:type="dxa"/>
              <w:right w:w="100" w:type="dxa"/>
            </w:tcMar>
          </w:tcPr>
          <w:p w14:paraId="57D58A59"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6296DD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F1177B" w14:paraId="20AB316E" w14:textId="77777777">
        <w:tc>
          <w:tcPr>
            <w:tcW w:w="2340" w:type="dxa"/>
            <w:tcMar>
              <w:top w:w="100" w:type="dxa"/>
              <w:left w:w="100" w:type="dxa"/>
              <w:bottom w:w="100" w:type="dxa"/>
              <w:right w:w="100" w:type="dxa"/>
            </w:tcMar>
          </w:tcPr>
          <w:p w14:paraId="7C432F1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NASDAQ</w:t>
            </w:r>
          </w:p>
        </w:tc>
        <w:tc>
          <w:tcPr>
            <w:tcW w:w="2340" w:type="dxa"/>
            <w:tcMar>
              <w:top w:w="100" w:type="dxa"/>
              <w:left w:w="100" w:type="dxa"/>
              <w:bottom w:w="100" w:type="dxa"/>
              <w:right w:w="100" w:type="dxa"/>
            </w:tcMar>
          </w:tcPr>
          <w:p w14:paraId="3871D148"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National Gaming, Inc.</w:t>
            </w:r>
          </w:p>
        </w:tc>
        <w:tc>
          <w:tcPr>
            <w:tcW w:w="2340" w:type="dxa"/>
            <w:tcMar>
              <w:top w:w="100" w:type="dxa"/>
              <w:left w:w="100" w:type="dxa"/>
              <w:bottom w:w="100" w:type="dxa"/>
              <w:right w:w="100" w:type="dxa"/>
            </w:tcMar>
          </w:tcPr>
          <w:p w14:paraId="017687DC"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B46A816"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F1177B" w14:paraId="1691122A" w14:textId="77777777">
        <w:tc>
          <w:tcPr>
            <w:tcW w:w="2340" w:type="dxa"/>
            <w:tcMar>
              <w:top w:w="100" w:type="dxa"/>
              <w:left w:w="100" w:type="dxa"/>
              <w:bottom w:w="100" w:type="dxa"/>
              <w:right w:w="100" w:type="dxa"/>
            </w:tcMar>
          </w:tcPr>
          <w:p w14:paraId="62941B4E"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RTX: NYSE</w:t>
            </w:r>
          </w:p>
        </w:tc>
        <w:tc>
          <w:tcPr>
            <w:tcW w:w="2340" w:type="dxa"/>
            <w:tcMar>
              <w:top w:w="100" w:type="dxa"/>
              <w:left w:w="100" w:type="dxa"/>
              <w:bottom w:w="100" w:type="dxa"/>
              <w:right w:w="100" w:type="dxa"/>
            </w:tcMar>
          </w:tcPr>
          <w:p w14:paraId="66E87113"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Raytheon Technologies Corporation</w:t>
            </w:r>
          </w:p>
        </w:tc>
        <w:tc>
          <w:tcPr>
            <w:tcW w:w="2340" w:type="dxa"/>
            <w:tcMar>
              <w:top w:w="100" w:type="dxa"/>
              <w:left w:w="100" w:type="dxa"/>
              <w:bottom w:w="100" w:type="dxa"/>
              <w:right w:w="100" w:type="dxa"/>
            </w:tcMar>
          </w:tcPr>
          <w:p w14:paraId="7E46DBC3"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F69BD53"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F1177B" w14:paraId="0771029B" w14:textId="77777777">
        <w:tc>
          <w:tcPr>
            <w:tcW w:w="2340" w:type="dxa"/>
            <w:tcMar>
              <w:top w:w="100" w:type="dxa"/>
              <w:left w:w="100" w:type="dxa"/>
              <w:bottom w:w="100" w:type="dxa"/>
              <w:right w:w="100" w:type="dxa"/>
            </w:tcMar>
          </w:tcPr>
          <w:p w14:paraId="56729638"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TD: NYSE</w:t>
            </w:r>
          </w:p>
        </w:tc>
        <w:tc>
          <w:tcPr>
            <w:tcW w:w="2340" w:type="dxa"/>
            <w:tcMar>
              <w:top w:w="100" w:type="dxa"/>
              <w:left w:w="100" w:type="dxa"/>
              <w:bottom w:w="100" w:type="dxa"/>
              <w:right w:w="100" w:type="dxa"/>
            </w:tcMar>
          </w:tcPr>
          <w:p w14:paraId="04F9CEB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Toronto-Dominion Bank</w:t>
            </w:r>
          </w:p>
        </w:tc>
        <w:tc>
          <w:tcPr>
            <w:tcW w:w="2340" w:type="dxa"/>
            <w:tcMar>
              <w:top w:w="100" w:type="dxa"/>
              <w:left w:w="100" w:type="dxa"/>
              <w:bottom w:w="100" w:type="dxa"/>
              <w:right w:w="100" w:type="dxa"/>
            </w:tcMar>
          </w:tcPr>
          <w:p w14:paraId="7E7B28CD"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5D92BC5"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F1177B" w14:paraId="64DA7E0B" w14:textId="77777777">
        <w:tc>
          <w:tcPr>
            <w:tcW w:w="2340" w:type="dxa"/>
            <w:tcMar>
              <w:top w:w="100" w:type="dxa"/>
              <w:left w:w="100" w:type="dxa"/>
              <w:bottom w:w="100" w:type="dxa"/>
              <w:right w:w="100" w:type="dxa"/>
            </w:tcMar>
          </w:tcPr>
          <w:p w14:paraId="157DA637"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TMUS: NASDAQ</w:t>
            </w:r>
          </w:p>
        </w:tc>
        <w:tc>
          <w:tcPr>
            <w:tcW w:w="2340" w:type="dxa"/>
            <w:tcMar>
              <w:top w:w="100" w:type="dxa"/>
              <w:left w:w="100" w:type="dxa"/>
              <w:bottom w:w="100" w:type="dxa"/>
              <w:right w:w="100" w:type="dxa"/>
            </w:tcMar>
          </w:tcPr>
          <w:p w14:paraId="105E3E69"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T-Mobile US, Inc.</w:t>
            </w:r>
          </w:p>
        </w:tc>
        <w:tc>
          <w:tcPr>
            <w:tcW w:w="2340" w:type="dxa"/>
            <w:tcMar>
              <w:top w:w="100" w:type="dxa"/>
              <w:left w:w="100" w:type="dxa"/>
              <w:bottom w:w="100" w:type="dxa"/>
              <w:right w:w="100" w:type="dxa"/>
            </w:tcMar>
          </w:tcPr>
          <w:p w14:paraId="0A8CFEFD"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E1EF644"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F1177B" w14:paraId="2473D3D7" w14:textId="77777777">
        <w:tc>
          <w:tcPr>
            <w:tcW w:w="2340" w:type="dxa"/>
            <w:tcMar>
              <w:top w:w="100" w:type="dxa"/>
              <w:left w:w="100" w:type="dxa"/>
              <w:bottom w:w="100" w:type="dxa"/>
              <w:right w:w="100" w:type="dxa"/>
            </w:tcMar>
          </w:tcPr>
          <w:p w14:paraId="2D22690E"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UPS: NYSE</w:t>
            </w:r>
          </w:p>
        </w:tc>
        <w:tc>
          <w:tcPr>
            <w:tcW w:w="2340" w:type="dxa"/>
            <w:tcMar>
              <w:top w:w="100" w:type="dxa"/>
              <w:left w:w="100" w:type="dxa"/>
              <w:bottom w:w="100" w:type="dxa"/>
              <w:right w:w="100" w:type="dxa"/>
            </w:tcMar>
          </w:tcPr>
          <w:p w14:paraId="1C24F7A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United Parcel Service, Inc. </w:t>
            </w:r>
          </w:p>
        </w:tc>
        <w:tc>
          <w:tcPr>
            <w:tcW w:w="2340" w:type="dxa"/>
            <w:tcMar>
              <w:top w:w="100" w:type="dxa"/>
              <w:left w:w="100" w:type="dxa"/>
              <w:bottom w:w="100" w:type="dxa"/>
              <w:right w:w="100" w:type="dxa"/>
            </w:tcMar>
          </w:tcPr>
          <w:p w14:paraId="513CC88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3E50815"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F1177B" w14:paraId="6D8CE59C" w14:textId="77777777">
        <w:tc>
          <w:tcPr>
            <w:tcW w:w="2340" w:type="dxa"/>
            <w:tcMar>
              <w:top w:w="100" w:type="dxa"/>
              <w:left w:w="100" w:type="dxa"/>
              <w:bottom w:w="100" w:type="dxa"/>
              <w:right w:w="100" w:type="dxa"/>
            </w:tcMar>
          </w:tcPr>
          <w:p w14:paraId="0A929A27"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UNM: NYSE</w:t>
            </w:r>
          </w:p>
        </w:tc>
        <w:tc>
          <w:tcPr>
            <w:tcW w:w="2340" w:type="dxa"/>
            <w:tcMar>
              <w:top w:w="100" w:type="dxa"/>
              <w:left w:w="100" w:type="dxa"/>
              <w:bottom w:w="100" w:type="dxa"/>
              <w:right w:w="100" w:type="dxa"/>
            </w:tcMar>
          </w:tcPr>
          <w:p w14:paraId="353082BD"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UNUM Group</w:t>
            </w:r>
          </w:p>
        </w:tc>
        <w:tc>
          <w:tcPr>
            <w:tcW w:w="2340" w:type="dxa"/>
            <w:tcMar>
              <w:top w:w="100" w:type="dxa"/>
              <w:left w:w="100" w:type="dxa"/>
              <w:bottom w:w="100" w:type="dxa"/>
              <w:right w:w="100" w:type="dxa"/>
            </w:tcMar>
          </w:tcPr>
          <w:p w14:paraId="21146BD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77924FE"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F1177B" w14:paraId="70E35BA5" w14:textId="77777777">
        <w:tc>
          <w:tcPr>
            <w:tcW w:w="2340" w:type="dxa"/>
            <w:tcMar>
              <w:top w:w="100" w:type="dxa"/>
              <w:left w:w="100" w:type="dxa"/>
              <w:bottom w:w="100" w:type="dxa"/>
              <w:right w:w="100" w:type="dxa"/>
            </w:tcMar>
          </w:tcPr>
          <w:p w14:paraId="51517A7F"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VLO: NYSE</w:t>
            </w:r>
          </w:p>
        </w:tc>
        <w:tc>
          <w:tcPr>
            <w:tcW w:w="2340" w:type="dxa"/>
            <w:tcMar>
              <w:top w:w="100" w:type="dxa"/>
              <w:left w:w="100" w:type="dxa"/>
              <w:bottom w:w="100" w:type="dxa"/>
              <w:right w:w="100" w:type="dxa"/>
            </w:tcMar>
          </w:tcPr>
          <w:p w14:paraId="3DD53879"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Valero Energy Corporation</w:t>
            </w:r>
          </w:p>
        </w:tc>
        <w:tc>
          <w:tcPr>
            <w:tcW w:w="2340" w:type="dxa"/>
            <w:tcMar>
              <w:top w:w="100" w:type="dxa"/>
              <w:left w:w="100" w:type="dxa"/>
              <w:bottom w:w="100" w:type="dxa"/>
              <w:right w:w="100" w:type="dxa"/>
            </w:tcMar>
          </w:tcPr>
          <w:p w14:paraId="37E447BC"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BA0BF9A"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Energy</w:t>
            </w:r>
          </w:p>
        </w:tc>
      </w:tr>
      <w:tr w:rsidR="00F1177B" w14:paraId="45F790B9" w14:textId="77777777">
        <w:tc>
          <w:tcPr>
            <w:tcW w:w="2340" w:type="dxa"/>
            <w:tcMar>
              <w:top w:w="100" w:type="dxa"/>
              <w:left w:w="100" w:type="dxa"/>
              <w:bottom w:w="100" w:type="dxa"/>
              <w:right w:w="100" w:type="dxa"/>
            </w:tcMar>
          </w:tcPr>
          <w:p w14:paraId="5D3FCDF0"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WMT: NYSE</w:t>
            </w:r>
          </w:p>
        </w:tc>
        <w:tc>
          <w:tcPr>
            <w:tcW w:w="2340" w:type="dxa"/>
            <w:tcMar>
              <w:top w:w="100" w:type="dxa"/>
              <w:left w:w="100" w:type="dxa"/>
              <w:bottom w:w="100" w:type="dxa"/>
              <w:right w:w="100" w:type="dxa"/>
            </w:tcMar>
          </w:tcPr>
          <w:p w14:paraId="73CC59E9"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Walmart, Inc.</w:t>
            </w:r>
          </w:p>
        </w:tc>
        <w:tc>
          <w:tcPr>
            <w:tcW w:w="2340" w:type="dxa"/>
            <w:tcMar>
              <w:top w:w="100" w:type="dxa"/>
              <w:left w:w="100" w:type="dxa"/>
              <w:bottom w:w="100" w:type="dxa"/>
              <w:right w:w="100" w:type="dxa"/>
            </w:tcMar>
          </w:tcPr>
          <w:p w14:paraId="01A224CD"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46A8831"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F1177B" w14:paraId="58793F6C" w14:textId="77777777">
        <w:tc>
          <w:tcPr>
            <w:tcW w:w="2340" w:type="dxa"/>
            <w:tcMar>
              <w:top w:w="100" w:type="dxa"/>
              <w:left w:w="100" w:type="dxa"/>
              <w:bottom w:w="100" w:type="dxa"/>
              <w:right w:w="100" w:type="dxa"/>
            </w:tcMar>
          </w:tcPr>
          <w:p w14:paraId="4577F51B"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WEX: NYSE</w:t>
            </w:r>
          </w:p>
        </w:tc>
        <w:tc>
          <w:tcPr>
            <w:tcW w:w="2340" w:type="dxa"/>
            <w:tcMar>
              <w:top w:w="100" w:type="dxa"/>
              <w:left w:w="100" w:type="dxa"/>
              <w:bottom w:w="100" w:type="dxa"/>
              <w:right w:w="100" w:type="dxa"/>
            </w:tcMar>
          </w:tcPr>
          <w:p w14:paraId="2602D5DE"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WEX, Inc. </w:t>
            </w:r>
          </w:p>
        </w:tc>
        <w:tc>
          <w:tcPr>
            <w:tcW w:w="2340" w:type="dxa"/>
            <w:tcMar>
              <w:top w:w="100" w:type="dxa"/>
              <w:left w:w="100" w:type="dxa"/>
              <w:bottom w:w="100" w:type="dxa"/>
              <w:right w:w="100" w:type="dxa"/>
            </w:tcMar>
          </w:tcPr>
          <w:p w14:paraId="55D35CF2"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8A18BB4" w14:textId="77777777" w:rsidR="00F1177B"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Information Technologies</w:t>
            </w:r>
          </w:p>
        </w:tc>
      </w:tr>
    </w:tbl>
    <w:p w14:paraId="3E82F391" w14:textId="77777777" w:rsidR="00F1177B" w:rsidRDefault="00F1177B">
      <w:pPr>
        <w:rPr>
          <w:rFonts w:ascii="Times New Roman" w:eastAsia="Times New Roman" w:hAnsi="Times New Roman" w:cs="Times New Roman"/>
          <w:sz w:val="24"/>
          <w:szCs w:val="24"/>
        </w:rPr>
      </w:pPr>
    </w:p>
    <w:p w14:paraId="40C6D9A4" w14:textId="77777777" w:rsidR="00F1177B" w:rsidRDefault="00F1177B">
      <w:pPr>
        <w:rPr>
          <w:rFonts w:ascii="Times New Roman" w:eastAsia="Times New Roman" w:hAnsi="Times New Roman" w:cs="Times New Roman"/>
          <w:sz w:val="24"/>
          <w:szCs w:val="24"/>
        </w:rPr>
      </w:pPr>
    </w:p>
    <w:sectPr w:rsidR="00F117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2D6ACFE-A215-DA4C-84DE-4922A6844836}"/>
    <w:embedItalic r:id="rId2" w:fontKey="{08D5EF0F-E556-A941-8237-2FB4B0D27A1C}"/>
  </w:font>
  <w:font w:name="Times New Roman">
    <w:panose1 w:val="02020603050405020304"/>
    <w:charset w:val="00"/>
    <w:family w:val="roman"/>
    <w:pitch w:val="variable"/>
    <w:sig w:usb0="E0002EFF" w:usb1="C000785B" w:usb2="00000009" w:usb3="00000000" w:csb0="000001FF" w:csb1="00000000"/>
    <w:embedRegular r:id="rId3" w:fontKey="{A03BAD48-1E0A-8F4F-9F3A-8336F5794879}"/>
    <w:embedBold r:id="rId4" w:fontKey="{7ED4016B-83A2-2449-8DCE-FC9C4525BA7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F2C7C1EF-314C-DC49-9948-8DB82974B162}"/>
  </w:font>
  <w:font w:name="Cambria">
    <w:panose1 w:val="02040503050406030204"/>
    <w:charset w:val="00"/>
    <w:family w:val="roman"/>
    <w:pitch w:val="variable"/>
    <w:sig w:usb0="E00006FF" w:usb1="420024FF" w:usb2="02000000" w:usb3="00000000" w:csb0="0000019F" w:csb1="00000000"/>
    <w:embedRegular r:id="rId6" w:fontKey="{FA1D7833-309F-774B-B944-97487637BE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77B"/>
    <w:rsid w:val="00477DB8"/>
    <w:rsid w:val="00604F4F"/>
    <w:rsid w:val="00931958"/>
    <w:rsid w:val="00B17599"/>
    <w:rsid w:val="00F11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1CA993C"/>
  <w15:docId w15:val="{CA4BCD4F-9486-8842-8AB2-13BB4F76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604F4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fGhp0D8fSwjrows7dat13DuLeA==">CgMxLjAyDmguaTd3YzNvN2hwdmJhMg5oLjl4YnY3Mmd1dHdjeDIOaC5td3dtb2ZnanF2M28yDmguNDUyNHFtbG9wMG5qOAByITFSaHJ3dURBekxNYkRkUkppZ09LTUUzLVgwWkxsdGpURw==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3</cp:revision>
  <dcterms:created xsi:type="dcterms:W3CDTF">2025-10-11T23:17:00Z</dcterms:created>
  <dcterms:modified xsi:type="dcterms:W3CDTF">2025-12-01T02:01:00Z</dcterms:modified>
</cp:coreProperties>
</file>