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AD77BC7" w14:textId="77777777" w:rsidR="00250330"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Husson Stock Index</w:t>
      </w:r>
    </w:p>
    <w:p w14:paraId="57B43CB6" w14:textId="77777777" w:rsidR="00250330"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 xml:space="preserve"> </w:t>
      </w:r>
    </w:p>
    <w:p w14:paraId="3889ED88" w14:textId="77777777" w:rsidR="00250330"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Week ended Friday, November 14th, 2025</w:t>
      </w:r>
    </w:p>
    <w:p w14:paraId="1E6A44F6" w14:textId="77777777" w:rsidR="00250330"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6DE460F0" w14:textId="04BC8B38" w:rsidR="00250330" w:rsidRDefault="00000000">
      <w:pPr>
        <w:ind w:firstLine="720"/>
        <w:rPr>
          <w:rFonts w:ascii="Times New Roman" w:eastAsia="Times New Roman" w:hAnsi="Times New Roman" w:cs="Times New Roman"/>
        </w:rPr>
      </w:pPr>
      <w:r>
        <w:rPr>
          <w:rFonts w:ascii="Times New Roman" w:eastAsia="Times New Roman" w:hAnsi="Times New Roman" w:cs="Times New Roman"/>
        </w:rPr>
        <w:t>For the week ending November 14, 2025, the Husson Stock Index (HSI) closed at 248.07, reflecting a 1.2% drop from the previous week and a 7.25% increase year to date. The S&amp;P 500 increased 0.08% over the week, and it is up 14.49% year</w:t>
      </w:r>
      <w:r w:rsidR="006934C5">
        <w:rPr>
          <w:rFonts w:ascii="Times New Roman" w:eastAsia="Times New Roman" w:hAnsi="Times New Roman" w:cs="Times New Roman"/>
        </w:rPr>
        <w:t xml:space="preserve"> </w:t>
      </w:r>
      <w:r>
        <w:rPr>
          <w:rFonts w:ascii="Times New Roman" w:eastAsia="Times New Roman" w:hAnsi="Times New Roman" w:cs="Times New Roman"/>
        </w:rPr>
        <w:t>to</w:t>
      </w:r>
      <w:r w:rsidR="006934C5">
        <w:rPr>
          <w:rFonts w:ascii="Times New Roman" w:eastAsia="Times New Roman" w:hAnsi="Times New Roman" w:cs="Times New Roman"/>
        </w:rPr>
        <w:t xml:space="preserve"> </w:t>
      </w:r>
      <w:r>
        <w:rPr>
          <w:rFonts w:ascii="Times New Roman" w:eastAsia="Times New Roman" w:hAnsi="Times New Roman" w:cs="Times New Roman"/>
        </w:rPr>
        <w:t>date. Similarly, the Dow Jones Industrial Average (DJIA) increased 0.34% for the week, with a year-to-date of 10.82%.</w:t>
      </w:r>
    </w:p>
    <w:p w14:paraId="6D67D3A4" w14:textId="77777777" w:rsidR="00250330" w:rsidRDefault="00250330">
      <w:pPr>
        <w:rPr>
          <w:rFonts w:ascii="Times New Roman" w:eastAsia="Times New Roman" w:hAnsi="Times New Roman" w:cs="Times New Roman"/>
        </w:rPr>
      </w:pPr>
    </w:p>
    <w:p w14:paraId="432F2F8B" w14:textId="77777777" w:rsidR="00250330"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Summary</w:t>
      </w:r>
    </w:p>
    <w:p w14:paraId="043FAFCE" w14:textId="77777777" w:rsidR="00250330" w:rsidRDefault="00000000">
      <w:pPr>
        <w:spacing w:before="240" w:after="240"/>
        <w:ind w:firstLine="720"/>
        <w:rPr>
          <w:rFonts w:ascii="Times New Roman" w:eastAsia="Times New Roman" w:hAnsi="Times New Roman" w:cs="Times New Roman"/>
        </w:rPr>
      </w:pPr>
      <w:r>
        <w:rPr>
          <w:rFonts w:ascii="Times New Roman" w:eastAsia="Times New Roman" w:hAnsi="Times New Roman" w:cs="Times New Roman"/>
        </w:rPr>
        <w:t>The best-performing stock in the HSI this week was T-Mobile US (TMUS), which rose by 4.39%. The company is still reaping the benefits of its network and the steady development of 5G and broadband networks. Additionally, adoption rates for T-Mobile’s offerings are high, driven by competitive pricing and extensive coverage. Although the telecommunication sector is being negatively impacted by macroeconomic trends and competitiveness, the strength of the brand and strategic growth for T-Mobile US are still giving it a competitive advantage over other companies in the sector. However, industry analysts have recently emphasized that the competitive landscape may be tightening. According to Yahoo Finance, “The firm voiced concerns over the wireless market’s growing level of competition, pointing to recent AT&amp;T results and the departure of Verizon’s CEO as indicators of a more difficult 2026 environment.” (Yahoo Finance, 2025)</w:t>
      </w:r>
    </w:p>
    <w:p w14:paraId="1A48302E" w14:textId="77777777" w:rsidR="00250330" w:rsidRDefault="00000000">
      <w:pPr>
        <w:spacing w:before="240" w:after="240"/>
        <w:ind w:firstLine="720"/>
        <w:rPr>
          <w:rFonts w:ascii="Times New Roman" w:eastAsia="Times New Roman" w:hAnsi="Times New Roman" w:cs="Times New Roman"/>
        </w:rPr>
      </w:pPr>
      <w:r>
        <w:rPr>
          <w:rFonts w:ascii="Times New Roman" w:eastAsia="Times New Roman" w:hAnsi="Times New Roman" w:cs="Times New Roman"/>
        </w:rPr>
        <w:t xml:space="preserve"> Valero Energy Corporation (VLO) recorded the second-largest gain this week, closing 3.50% higher than last week. The Energy sector </w:t>
      </w:r>
      <w:proofErr w:type="gramStart"/>
      <w:r>
        <w:rPr>
          <w:rFonts w:ascii="Times New Roman" w:eastAsia="Times New Roman" w:hAnsi="Times New Roman" w:cs="Times New Roman"/>
        </w:rPr>
        <w:t>as a whole rallied</w:t>
      </w:r>
      <w:proofErr w:type="gramEnd"/>
      <w:r>
        <w:rPr>
          <w:rFonts w:ascii="Times New Roman" w:eastAsia="Times New Roman" w:hAnsi="Times New Roman" w:cs="Times New Roman"/>
        </w:rPr>
        <w:t xml:space="preserve"> due to improvements in refining margins and the sustainability of fuel demand in this period. In this case, the company’s giant refinery facilities and their optimized processes provide it with an edge in capitalizing on this opportunity, compared to other players in this sector. According to </w:t>
      </w:r>
      <w:proofErr w:type="spellStart"/>
      <w:r>
        <w:rPr>
          <w:rFonts w:ascii="Times New Roman" w:eastAsia="Times New Roman" w:hAnsi="Times New Roman" w:cs="Times New Roman"/>
        </w:rPr>
        <w:t>Smartkarma</w:t>
      </w:r>
      <w:proofErr w:type="spellEnd"/>
      <w:r>
        <w:rPr>
          <w:rFonts w:ascii="Times New Roman" w:eastAsia="Times New Roman" w:hAnsi="Times New Roman" w:cs="Times New Roman"/>
        </w:rPr>
        <w:t xml:space="preserve">, “Valero Energy Corporation is seen as a company with strong momentum in the </w:t>
      </w:r>
      <w:proofErr w:type="gramStart"/>
      <w:r>
        <w:rPr>
          <w:rFonts w:ascii="Times New Roman" w:eastAsia="Times New Roman" w:hAnsi="Times New Roman" w:cs="Times New Roman"/>
        </w:rPr>
        <w:t>market, but</w:t>
      </w:r>
      <w:proofErr w:type="gramEnd"/>
      <w:r>
        <w:rPr>
          <w:rFonts w:ascii="Times New Roman" w:eastAsia="Times New Roman" w:hAnsi="Times New Roman" w:cs="Times New Roman"/>
        </w:rPr>
        <w:t xml:space="preserve"> may face challenges in terms of value and growth potential. With its diverse range... Valero Energy has shown resilience in the face of market uncertainties.” It is clear, however, that fundamentals are sound, regardless of the long-term prospects for the energy sector.</w:t>
      </w:r>
    </w:p>
    <w:p w14:paraId="5E6D0CFB" w14:textId="77777777" w:rsidR="00250330" w:rsidRDefault="00000000">
      <w:pPr>
        <w:spacing w:before="240" w:after="240"/>
        <w:ind w:firstLine="720"/>
        <w:rPr>
          <w:rFonts w:ascii="Times New Roman" w:eastAsia="Times New Roman" w:hAnsi="Times New Roman" w:cs="Times New Roman"/>
        </w:rPr>
      </w:pPr>
      <w:proofErr w:type="spellStart"/>
      <w:r>
        <w:rPr>
          <w:rFonts w:ascii="Times New Roman" w:eastAsia="Times New Roman" w:hAnsi="Times New Roman" w:cs="Times New Roman"/>
        </w:rPr>
        <w:t>ImmuCell</w:t>
      </w:r>
      <w:proofErr w:type="spellEnd"/>
      <w:r>
        <w:rPr>
          <w:rFonts w:ascii="Times New Roman" w:eastAsia="Times New Roman" w:hAnsi="Times New Roman" w:cs="Times New Roman"/>
        </w:rPr>
        <w:t xml:space="preserve"> Corporation (ICCC) saw the sharpest fall in the list, plummeting by 11.48% during this week. The reason for this is the high volatility level shown by the company, mainly due to being a small-cap company with few product lines. Any small change in revenue, production, or regulatory requirements may therefore show considerable volatility. According to ABC Channel 10, CFO Timothy C. Fiori stated, “As we can see in the quarter ended September 30, 2025, results, backlog dynamics have created difficult conditions for year-over-year sales comparisons,” added Mr. Fiori. “We now have sufficient inventory on hand throughout the supply chain to give our customers, distributor partners and sales team the confidence to drive product adoption and revenue growth. We are operating from a clean slate.” (ABC Channel 10, 2025) Although nothing significant was announced this week, this trend may also be linked to general uncertainties among investors pertaining to smaller companies, especially those related to the biotech and agricultural sectors.</w:t>
      </w:r>
    </w:p>
    <w:p w14:paraId="1897E2D6" w14:textId="77777777" w:rsidR="00250330" w:rsidRDefault="00000000">
      <w:pPr>
        <w:spacing w:before="240" w:after="240"/>
        <w:ind w:firstLine="720"/>
        <w:rPr>
          <w:rFonts w:ascii="Times New Roman" w:eastAsia="Times New Roman" w:hAnsi="Times New Roman" w:cs="Times New Roman"/>
        </w:rPr>
      </w:pPr>
      <w:r>
        <w:rPr>
          <w:rFonts w:ascii="Times New Roman" w:eastAsia="Times New Roman" w:hAnsi="Times New Roman" w:cs="Times New Roman"/>
        </w:rPr>
        <w:t xml:space="preserve">Charter Communications (CHTR) ranked as the </w:t>
      </w:r>
      <w:proofErr w:type="gramStart"/>
      <w:r>
        <w:rPr>
          <w:rFonts w:ascii="Times New Roman" w:eastAsia="Times New Roman" w:hAnsi="Times New Roman" w:cs="Times New Roman"/>
        </w:rPr>
        <w:t>second-worst</w:t>
      </w:r>
      <w:proofErr w:type="gramEnd"/>
      <w:r>
        <w:rPr>
          <w:rFonts w:ascii="Times New Roman" w:eastAsia="Times New Roman" w:hAnsi="Times New Roman" w:cs="Times New Roman"/>
        </w:rPr>
        <w:t xml:space="preserve">-performing stock this week, declining by 7.62%. The company is still struggling with various issues, ranging from the loss of </w:t>
      </w:r>
      <w:r>
        <w:rPr>
          <w:rFonts w:ascii="Times New Roman" w:eastAsia="Times New Roman" w:hAnsi="Times New Roman" w:cs="Times New Roman"/>
        </w:rPr>
        <w:lastRenderedPageBreak/>
        <w:t xml:space="preserve">broadband and video customers. Seeking Alpha reports that “Charter Communications (CHTR)is the most shorted stock in its sector of the S&amp;P 500 with 15.89 million shares short as of October-end, or 17.62% of shares float.” (Seeking Alpha, 2025) Elevated short interest often signals bearish market expectations and can contribute to downward price pressure, particularly when combined with operational challenges. The competitive pressures exerted by rivals offering fiber-based networks, as well as the changed consumer behaviors, have been negatively affecting the company’s revenue growth. At the same time, the market mood is still cautious, expecting increased expenses </w:t>
      </w:r>
      <w:proofErr w:type="gramStart"/>
      <w:r>
        <w:rPr>
          <w:rFonts w:ascii="Times New Roman" w:eastAsia="Times New Roman" w:hAnsi="Times New Roman" w:cs="Times New Roman"/>
        </w:rPr>
        <w:t>as a result of</w:t>
      </w:r>
      <w:proofErr w:type="gramEnd"/>
      <w:r>
        <w:rPr>
          <w:rFonts w:ascii="Times New Roman" w:eastAsia="Times New Roman" w:hAnsi="Times New Roman" w:cs="Times New Roman"/>
        </w:rPr>
        <w:t xml:space="preserve"> improving the company’s networks.</w:t>
      </w:r>
    </w:p>
    <w:p w14:paraId="15E5E391" w14:textId="503598FE" w:rsidR="00250330" w:rsidRDefault="00000000">
      <w:pPr>
        <w:spacing w:before="240" w:after="240"/>
        <w:ind w:firstLine="720"/>
        <w:rPr>
          <w:rFonts w:ascii="Times New Roman" w:eastAsia="Times New Roman" w:hAnsi="Times New Roman" w:cs="Times New Roman"/>
        </w:rPr>
      </w:pPr>
      <w:r>
        <w:rPr>
          <w:rFonts w:ascii="Times New Roman" w:eastAsia="Times New Roman" w:hAnsi="Times New Roman" w:cs="Times New Roman"/>
        </w:rPr>
        <w:t xml:space="preserve">Overall, the Husson Stock Index showed a slight decline this week, reflecting the mixed performance of the companies representing Maine’s Economy as well as prevailing uncertainties among national and global markets. Notable gains in T-Mobile and Valero show how companies leveraging competitive positioning, sector-specific trends, and positive trends in business operations </w:t>
      </w:r>
      <w:r w:rsidR="006934C5">
        <w:rPr>
          <w:rFonts w:ascii="Times New Roman" w:eastAsia="Times New Roman" w:hAnsi="Times New Roman" w:cs="Times New Roman"/>
        </w:rPr>
        <w:t>can</w:t>
      </w:r>
      <w:r>
        <w:rPr>
          <w:rFonts w:ascii="Times New Roman" w:eastAsia="Times New Roman" w:hAnsi="Times New Roman" w:cs="Times New Roman"/>
        </w:rPr>
        <w:t xml:space="preserve"> remain less affected by large macroeconomic trends. At the same time, the large declines shown by </w:t>
      </w:r>
      <w:proofErr w:type="spellStart"/>
      <w:r>
        <w:rPr>
          <w:rFonts w:ascii="Times New Roman" w:eastAsia="Times New Roman" w:hAnsi="Times New Roman" w:cs="Times New Roman"/>
        </w:rPr>
        <w:t>ImmuCell</w:t>
      </w:r>
      <w:proofErr w:type="spellEnd"/>
      <w:r>
        <w:rPr>
          <w:rFonts w:ascii="Times New Roman" w:eastAsia="Times New Roman" w:hAnsi="Times New Roman" w:cs="Times New Roman"/>
        </w:rPr>
        <w:t xml:space="preserve"> and Charter Communications signified the struggles faced by smaller and more volatile companies within today’s intensified competitive environments as well as those significantly affected by prevailing shifts in consumer behavior.</w:t>
      </w:r>
    </w:p>
    <w:p w14:paraId="2F57F184" w14:textId="77777777" w:rsidR="00250330" w:rsidRDefault="00250330">
      <w:pPr>
        <w:rPr>
          <w:rFonts w:ascii="Times New Roman" w:eastAsia="Times New Roman" w:hAnsi="Times New Roman" w:cs="Times New Roman"/>
        </w:rPr>
      </w:pPr>
    </w:p>
    <w:p w14:paraId="5BD92580" w14:textId="77777777" w:rsidR="00250330" w:rsidRDefault="00250330">
      <w:pPr>
        <w:rPr>
          <w:rFonts w:ascii="Times New Roman" w:eastAsia="Times New Roman" w:hAnsi="Times New Roman" w:cs="Times New Roman"/>
        </w:rPr>
      </w:pPr>
    </w:p>
    <w:p w14:paraId="34808375" w14:textId="77777777" w:rsidR="00250330" w:rsidRDefault="00250330">
      <w:pPr>
        <w:rPr>
          <w:rFonts w:ascii="Times New Roman" w:eastAsia="Times New Roman" w:hAnsi="Times New Roman" w:cs="Times New Roman"/>
        </w:rPr>
      </w:pPr>
    </w:p>
    <w:p w14:paraId="413FDED2" w14:textId="77777777" w:rsidR="00250330"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Overview</w:t>
      </w:r>
    </w:p>
    <w:p w14:paraId="4A53E46C" w14:textId="77777777" w:rsidR="00250330" w:rsidRDefault="00250330">
      <w:pPr>
        <w:rPr>
          <w:rFonts w:ascii="Times New Roman" w:eastAsia="Times New Roman" w:hAnsi="Times New Roman" w:cs="Times New Roman"/>
          <w:b/>
          <w:bCs/>
        </w:rPr>
      </w:pPr>
    </w:p>
    <w:p w14:paraId="0F6EDDAD" w14:textId="77777777" w:rsidR="00250330" w:rsidRDefault="00000000">
      <w:pPr>
        <w:ind w:firstLine="720"/>
        <w:rPr>
          <w:rFonts w:ascii="Times New Roman" w:eastAsia="Times New Roman" w:hAnsi="Times New Roman" w:cs="Times New Roman"/>
        </w:rPr>
      </w:pPr>
      <w:r>
        <w:rPr>
          <w:rFonts w:ascii="Times New Roman" w:eastAsia="Times New Roman" w:hAnsi="Times New Roman" w:cs="Times New Roman"/>
        </w:rPr>
        <w:t>The HSI was developed by Marie Kenney, while a student at Husson University, in</w:t>
      </w:r>
    </w:p>
    <w:p w14:paraId="2B3AF28B" w14:textId="77777777" w:rsidR="00250330" w:rsidRDefault="00000000">
      <w:pPr>
        <w:rPr>
          <w:rFonts w:ascii="Times New Roman" w:eastAsia="Times New Roman" w:hAnsi="Times New Roman" w:cs="Times New Roman"/>
        </w:rPr>
      </w:pPr>
      <w:r>
        <w:rPr>
          <w:rFonts w:ascii="Times New Roman" w:eastAsia="Times New Roman" w:hAnsi="Times New Roman" w:cs="Times New Roman"/>
        </w:rPr>
        <w:t>consultation with Associate Professor J. Douglas Wellington. The index is currently being</w:t>
      </w:r>
    </w:p>
    <w:p w14:paraId="0F7776EC" w14:textId="77777777" w:rsidR="00250330" w:rsidRDefault="00000000">
      <w:pPr>
        <w:rPr>
          <w:rFonts w:ascii="Times New Roman" w:eastAsia="Times New Roman" w:hAnsi="Times New Roman" w:cs="Times New Roman"/>
        </w:rPr>
      </w:pPr>
      <w:r>
        <w:rPr>
          <w:rFonts w:ascii="Times New Roman" w:eastAsia="Times New Roman" w:hAnsi="Times New Roman" w:cs="Times New Roman"/>
        </w:rPr>
        <w:t xml:space="preserve">tracked and analyzed by Husson students Ray </w:t>
      </w:r>
      <w:proofErr w:type="spellStart"/>
      <w:r>
        <w:rPr>
          <w:rFonts w:ascii="Times New Roman" w:eastAsia="Times New Roman" w:hAnsi="Times New Roman" w:cs="Times New Roman"/>
        </w:rPr>
        <w:t>Intwari</w:t>
      </w:r>
      <w:proofErr w:type="spellEnd"/>
      <w:r>
        <w:rPr>
          <w:rFonts w:ascii="Times New Roman" w:eastAsia="Times New Roman" w:hAnsi="Times New Roman" w:cs="Times New Roman"/>
        </w:rPr>
        <w:t xml:space="preserve"> and Hugh Jack under the supervision of the Associate Professor of Finance, Dr. Jia Liu. The HSI currently tracks and analyzes the stocks of 24 companies that are considered to affect the Maine economy. These companies are either based in Maine or have an influence on the Maine economy through employment or consumer spending. This price-weighted index offers a numerical breakdown of Maine’s economy. The analysis investigates the events of the week and finds the likely reasons the index went up or down. This index and analysis help provide a better understanding of Maine’s economy as well as explain significant changes in stock prices of the companies that comprise the HSI.</w:t>
      </w:r>
    </w:p>
    <w:p w14:paraId="7519E697" w14:textId="77777777" w:rsidR="00250330" w:rsidRDefault="00250330">
      <w:pPr>
        <w:rPr>
          <w:rFonts w:ascii="Times New Roman" w:eastAsia="Times New Roman" w:hAnsi="Times New Roman" w:cs="Times New Roman"/>
        </w:rPr>
      </w:pPr>
    </w:p>
    <w:p w14:paraId="7DB02B28" w14:textId="77777777" w:rsidR="00250330" w:rsidRDefault="00000000">
      <w:pPr>
        <w:rPr>
          <w:rFonts w:ascii="Times New Roman" w:eastAsia="Times New Roman" w:hAnsi="Times New Roman" w:cs="Times New Roman"/>
        </w:rPr>
      </w:pPr>
      <w:r>
        <w:rPr>
          <w:rFonts w:ascii="Times New Roman" w:eastAsia="Times New Roman" w:hAnsi="Times New Roman" w:cs="Times New Roman"/>
        </w:rPr>
        <w:t xml:space="preserve"> </w:t>
      </w:r>
    </w:p>
    <w:p w14:paraId="6A74AAEB" w14:textId="77777777" w:rsidR="00250330" w:rsidRDefault="00000000">
      <w:pPr>
        <w:jc w:val="center"/>
        <w:rPr>
          <w:rFonts w:ascii="Times New Roman" w:eastAsia="Times New Roman" w:hAnsi="Times New Roman" w:cs="Times New Roman"/>
          <w:b/>
          <w:bCs/>
        </w:rPr>
      </w:pPr>
      <w:r>
        <w:rPr>
          <w:rFonts w:ascii="Times New Roman" w:eastAsia="Times New Roman" w:hAnsi="Times New Roman" w:cs="Times New Roman"/>
          <w:b/>
          <w:bCs/>
        </w:rPr>
        <w:t>References:</w:t>
      </w:r>
    </w:p>
    <w:p w14:paraId="18CDF049" w14:textId="77777777" w:rsidR="00250330" w:rsidRDefault="00250330">
      <w:pPr>
        <w:jc w:val="center"/>
        <w:rPr>
          <w:rFonts w:ascii="Times New Roman" w:eastAsia="Times New Roman" w:hAnsi="Times New Roman" w:cs="Times New Roman"/>
          <w:b/>
          <w:bCs/>
        </w:rPr>
      </w:pPr>
    </w:p>
    <w:p w14:paraId="2F87DE1D" w14:textId="77777777" w:rsidR="00250330" w:rsidRDefault="00000000">
      <w:pPr>
        <w:rPr>
          <w:rFonts w:ascii="Times New Roman" w:eastAsia="Times New Roman" w:hAnsi="Times New Roman" w:cs="Times New Roman"/>
        </w:rPr>
      </w:pPr>
      <w:r>
        <w:rPr>
          <w:rFonts w:ascii="Times New Roman" w:eastAsia="Times New Roman" w:hAnsi="Times New Roman" w:cs="Times New Roman"/>
        </w:rPr>
        <w:t xml:space="preserve">GlobeNewswire. (2025). </w:t>
      </w:r>
      <w:proofErr w:type="spellStart"/>
      <w:r>
        <w:rPr>
          <w:rFonts w:ascii="Times New Roman" w:eastAsia="Times New Roman" w:hAnsi="Times New Roman" w:cs="Times New Roman"/>
        </w:rPr>
        <w:t>ImmuCell</w:t>
      </w:r>
      <w:proofErr w:type="spellEnd"/>
      <w:r>
        <w:rPr>
          <w:rFonts w:ascii="Times New Roman" w:eastAsia="Times New Roman" w:hAnsi="Times New Roman" w:cs="Times New Roman"/>
        </w:rPr>
        <w:t xml:space="preserve"> announces unaudited financial results for the quarter ended September 30, 2025 [Press release]. News10. https://www.news10.com/business/press-releases/globenewswire/9575335/immucell-announces-unaudited-financial-results-for-the-quarter-ended-september-30-2025/</w:t>
      </w:r>
    </w:p>
    <w:p w14:paraId="0A60BDDA" w14:textId="77777777" w:rsidR="00250330" w:rsidRDefault="00250330">
      <w:pPr>
        <w:rPr>
          <w:rFonts w:ascii="Times New Roman" w:eastAsia="Times New Roman" w:hAnsi="Times New Roman" w:cs="Times New Roman"/>
        </w:rPr>
      </w:pPr>
    </w:p>
    <w:p w14:paraId="3C601A54" w14:textId="77777777" w:rsidR="00250330" w:rsidRDefault="00000000">
      <w:pPr>
        <w:rPr>
          <w:rFonts w:ascii="Times New Roman" w:eastAsia="Times New Roman" w:hAnsi="Times New Roman" w:cs="Times New Roman"/>
        </w:rPr>
      </w:pPr>
      <w:proofErr w:type="spellStart"/>
      <w:r>
        <w:rPr>
          <w:rFonts w:ascii="Times New Roman" w:eastAsia="Times New Roman" w:hAnsi="Times New Roman" w:cs="Times New Roman"/>
        </w:rPr>
        <w:t>Smartkarma</w:t>
      </w:r>
      <w:proofErr w:type="spellEnd"/>
      <w:r>
        <w:rPr>
          <w:rFonts w:ascii="Times New Roman" w:eastAsia="Times New Roman" w:hAnsi="Times New Roman" w:cs="Times New Roman"/>
        </w:rPr>
        <w:t xml:space="preserve"> Newswire. (2025, November 15). Valero Energy Corporation’s stock price soars to $181.76, marking a robust 3.40% uptick. </w:t>
      </w:r>
      <w:proofErr w:type="spellStart"/>
      <w:r>
        <w:rPr>
          <w:rFonts w:ascii="Times New Roman" w:eastAsia="Times New Roman" w:hAnsi="Times New Roman" w:cs="Times New Roman"/>
        </w:rPr>
        <w:t>Smartkarma</w:t>
      </w:r>
      <w:proofErr w:type="spellEnd"/>
      <w:r>
        <w:rPr>
          <w:rFonts w:ascii="Times New Roman" w:eastAsia="Times New Roman" w:hAnsi="Times New Roman" w:cs="Times New Roman"/>
        </w:rPr>
        <w:t>. https://www.smartkarma.com/home/market-movers/valero-energy-corporations-stock-price-soars-to-181-76-marking-a-robust-3-40-uptick/</w:t>
      </w:r>
    </w:p>
    <w:p w14:paraId="4DDEE2F4" w14:textId="77777777" w:rsidR="00250330" w:rsidRDefault="00250330">
      <w:pPr>
        <w:rPr>
          <w:rFonts w:ascii="Times New Roman" w:eastAsia="Times New Roman" w:hAnsi="Times New Roman" w:cs="Times New Roman"/>
        </w:rPr>
      </w:pPr>
    </w:p>
    <w:p w14:paraId="7AB58DB1" w14:textId="77777777" w:rsidR="00250330" w:rsidRDefault="00000000">
      <w:pPr>
        <w:rPr>
          <w:rFonts w:ascii="Times New Roman" w:eastAsia="Times New Roman" w:hAnsi="Times New Roman" w:cs="Times New Roman"/>
        </w:rPr>
      </w:pPr>
      <w:r>
        <w:rPr>
          <w:rFonts w:ascii="Times New Roman" w:eastAsia="Times New Roman" w:hAnsi="Times New Roman" w:cs="Times New Roman"/>
        </w:rPr>
        <w:t xml:space="preserve">Seeking Alpha. (2025). Charter Communications most-shorted S&amp;P 500 communications stocks in October; Alphabet least-shorted [News]. Seeking Alpha. </w:t>
      </w:r>
      <w:hyperlink r:id="rId5">
        <w:r w:rsidR="00250330">
          <w:rPr>
            <w:rFonts w:ascii="Times New Roman" w:eastAsia="Times New Roman" w:hAnsi="Times New Roman" w:cs="Times New Roman"/>
            <w:color w:val="1155CC"/>
            <w:u w:val="single"/>
          </w:rPr>
          <w:t>https://seekingalpha.com/news/4521448-charter-communications-most-shorted-sp-500-communications-stocks-in-october-alphabet-least-shorted</w:t>
        </w:r>
      </w:hyperlink>
    </w:p>
    <w:p w14:paraId="2209C473" w14:textId="77777777" w:rsidR="00250330" w:rsidRDefault="00250330">
      <w:pPr>
        <w:rPr>
          <w:rFonts w:ascii="Times New Roman" w:eastAsia="Times New Roman" w:hAnsi="Times New Roman" w:cs="Times New Roman"/>
        </w:rPr>
      </w:pPr>
    </w:p>
    <w:p w14:paraId="6BC24112" w14:textId="77777777" w:rsidR="00250330" w:rsidRDefault="00000000">
      <w:pPr>
        <w:rPr>
          <w:rFonts w:ascii="Times New Roman" w:eastAsia="Times New Roman" w:hAnsi="Times New Roman" w:cs="Times New Roman"/>
        </w:rPr>
      </w:pPr>
      <w:r>
        <w:rPr>
          <w:rFonts w:ascii="Times New Roman" w:eastAsia="Times New Roman" w:hAnsi="Times New Roman" w:cs="Times New Roman"/>
        </w:rPr>
        <w:t>Yahoo Finance. (2025). TD Cowen adjusts T-Mobile … [Article]. Yahoo Finance. https://finance.yahoo.com/news/td-cowen-adjusts-t-mobile-042017545.html</w:t>
      </w:r>
    </w:p>
    <w:p w14:paraId="164752D1" w14:textId="77777777" w:rsidR="00250330" w:rsidRDefault="00250330">
      <w:pPr>
        <w:rPr>
          <w:rFonts w:ascii="Times New Roman" w:eastAsia="Times New Roman" w:hAnsi="Times New Roman" w:cs="Times New Roman"/>
        </w:rPr>
      </w:pPr>
    </w:p>
    <w:p w14:paraId="4940D865" w14:textId="77777777" w:rsidR="00250330" w:rsidRDefault="00250330">
      <w:pPr>
        <w:rPr>
          <w:rFonts w:ascii="Times New Roman" w:eastAsia="Times New Roman" w:hAnsi="Times New Roman" w:cs="Times New Roman"/>
        </w:rPr>
      </w:pPr>
    </w:p>
    <w:p w14:paraId="57BA6492" w14:textId="77777777" w:rsidR="00250330" w:rsidRDefault="00250330">
      <w:pPr>
        <w:rPr>
          <w:rFonts w:ascii="Times New Roman" w:eastAsia="Times New Roman" w:hAnsi="Times New Roman" w:cs="Times New Roman"/>
        </w:rPr>
      </w:pPr>
    </w:p>
    <w:p w14:paraId="24B112A0" w14:textId="77777777" w:rsidR="00250330" w:rsidRDefault="00250330">
      <w:pPr>
        <w:rPr>
          <w:rFonts w:ascii="Times New Roman" w:eastAsia="Times New Roman" w:hAnsi="Times New Roman" w:cs="Times New Roman"/>
        </w:rPr>
      </w:pPr>
    </w:p>
    <w:p w14:paraId="382458F2" w14:textId="77777777" w:rsidR="00250330" w:rsidRDefault="00250330">
      <w:pPr>
        <w:rPr>
          <w:rFonts w:ascii="Times New Roman" w:eastAsia="Times New Roman" w:hAnsi="Times New Roman" w:cs="Times New Roman"/>
        </w:rPr>
      </w:pPr>
    </w:p>
    <w:p w14:paraId="65750711" w14:textId="77777777" w:rsidR="00250330" w:rsidRDefault="00250330">
      <w:pPr>
        <w:rPr>
          <w:rFonts w:ascii="Times New Roman" w:eastAsia="Times New Roman" w:hAnsi="Times New Roman" w:cs="Times New Roman"/>
        </w:rPr>
      </w:pPr>
    </w:p>
    <w:p w14:paraId="559CF822" w14:textId="77777777" w:rsidR="00250330" w:rsidRDefault="00000000">
      <w:pPr>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Composition of Husson Stock Index (HSI)</w:t>
      </w:r>
    </w:p>
    <w:tbl>
      <w:tblPr>
        <w:tblStyle w:val="a0"/>
        <w:tblW w:w="9360" w:type="dxa"/>
        <w:tblInd w:w="-6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40"/>
        <w:gridCol w:w="2340"/>
        <w:gridCol w:w="2340"/>
        <w:gridCol w:w="2340"/>
      </w:tblGrid>
      <w:tr w:rsidR="00250330" w14:paraId="16C3521F" w14:textId="77777777">
        <w:tc>
          <w:tcPr>
            <w:tcW w:w="2340" w:type="dxa"/>
            <w:tcMar>
              <w:top w:w="100" w:type="dxa"/>
              <w:left w:w="100" w:type="dxa"/>
              <w:bottom w:w="100" w:type="dxa"/>
              <w:right w:w="100" w:type="dxa"/>
            </w:tcMar>
          </w:tcPr>
          <w:p w14:paraId="01E80BD8"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Ticker symbol: Exchange</w:t>
            </w:r>
          </w:p>
        </w:tc>
        <w:tc>
          <w:tcPr>
            <w:tcW w:w="2340" w:type="dxa"/>
            <w:tcMar>
              <w:top w:w="100" w:type="dxa"/>
              <w:left w:w="100" w:type="dxa"/>
              <w:bottom w:w="100" w:type="dxa"/>
              <w:right w:w="100" w:type="dxa"/>
            </w:tcMar>
          </w:tcPr>
          <w:p w14:paraId="3E1B08A1"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Stock </w:t>
            </w:r>
          </w:p>
        </w:tc>
        <w:tc>
          <w:tcPr>
            <w:tcW w:w="2340" w:type="dxa"/>
            <w:tcMar>
              <w:top w:w="100" w:type="dxa"/>
              <w:left w:w="100" w:type="dxa"/>
              <w:bottom w:w="100" w:type="dxa"/>
              <w:right w:w="100" w:type="dxa"/>
            </w:tcMar>
          </w:tcPr>
          <w:p w14:paraId="2E26D3F2"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Maine Affiliation</w:t>
            </w:r>
          </w:p>
        </w:tc>
        <w:tc>
          <w:tcPr>
            <w:tcW w:w="2340" w:type="dxa"/>
            <w:tcMar>
              <w:top w:w="100" w:type="dxa"/>
              <w:left w:w="100" w:type="dxa"/>
              <w:bottom w:w="100" w:type="dxa"/>
              <w:right w:w="100" w:type="dxa"/>
            </w:tcMar>
          </w:tcPr>
          <w:p w14:paraId="229DB206"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Sector</w:t>
            </w:r>
          </w:p>
        </w:tc>
      </w:tr>
      <w:tr w:rsidR="00250330" w14:paraId="0F19687B" w14:textId="77777777">
        <w:tc>
          <w:tcPr>
            <w:tcW w:w="2340" w:type="dxa"/>
            <w:tcMar>
              <w:top w:w="100" w:type="dxa"/>
              <w:left w:w="100" w:type="dxa"/>
              <w:bottom w:w="100" w:type="dxa"/>
              <w:right w:w="100" w:type="dxa"/>
            </w:tcMar>
          </w:tcPr>
          <w:p w14:paraId="5E321CBE"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BAC: NYSE</w:t>
            </w:r>
          </w:p>
        </w:tc>
        <w:tc>
          <w:tcPr>
            <w:tcW w:w="2340" w:type="dxa"/>
            <w:tcMar>
              <w:top w:w="100" w:type="dxa"/>
              <w:left w:w="100" w:type="dxa"/>
              <w:bottom w:w="100" w:type="dxa"/>
              <w:right w:w="100" w:type="dxa"/>
            </w:tcMar>
          </w:tcPr>
          <w:p w14:paraId="438588AE"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Bank of </w:t>
            </w:r>
            <w:proofErr w:type="spellStart"/>
            <w:r>
              <w:rPr>
                <w:rFonts w:ascii="Times New Roman" w:eastAsia="Times New Roman" w:hAnsi="Times New Roman" w:cs="Times New Roman"/>
              </w:rPr>
              <w:t>american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corp</w:t>
            </w:r>
            <w:proofErr w:type="spellEnd"/>
          </w:p>
        </w:tc>
        <w:tc>
          <w:tcPr>
            <w:tcW w:w="2340" w:type="dxa"/>
            <w:tcMar>
              <w:top w:w="100" w:type="dxa"/>
              <w:left w:w="100" w:type="dxa"/>
              <w:bottom w:w="100" w:type="dxa"/>
              <w:right w:w="100" w:type="dxa"/>
            </w:tcMar>
          </w:tcPr>
          <w:p w14:paraId="74D94503"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4E398112"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Financials</w:t>
            </w:r>
          </w:p>
        </w:tc>
      </w:tr>
      <w:tr w:rsidR="00250330" w14:paraId="5D689CED" w14:textId="77777777">
        <w:tc>
          <w:tcPr>
            <w:tcW w:w="2340" w:type="dxa"/>
            <w:tcMar>
              <w:top w:w="100" w:type="dxa"/>
              <w:left w:w="100" w:type="dxa"/>
              <w:bottom w:w="100" w:type="dxa"/>
              <w:right w:w="100" w:type="dxa"/>
            </w:tcMar>
          </w:tcPr>
          <w:p w14:paraId="5CCA0176"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BHB: NYSE</w:t>
            </w:r>
          </w:p>
        </w:tc>
        <w:tc>
          <w:tcPr>
            <w:tcW w:w="2340" w:type="dxa"/>
            <w:tcMar>
              <w:top w:w="100" w:type="dxa"/>
              <w:left w:w="100" w:type="dxa"/>
              <w:bottom w:w="100" w:type="dxa"/>
              <w:right w:w="100" w:type="dxa"/>
            </w:tcMar>
          </w:tcPr>
          <w:p w14:paraId="4CA6F058"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Bar Harbor Bank</w:t>
            </w:r>
          </w:p>
        </w:tc>
        <w:tc>
          <w:tcPr>
            <w:tcW w:w="2340" w:type="dxa"/>
            <w:tcMar>
              <w:top w:w="100" w:type="dxa"/>
              <w:left w:w="100" w:type="dxa"/>
              <w:bottom w:w="100" w:type="dxa"/>
              <w:right w:w="100" w:type="dxa"/>
            </w:tcMar>
          </w:tcPr>
          <w:p w14:paraId="3B5F5010"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Maine-based</w:t>
            </w:r>
          </w:p>
        </w:tc>
        <w:tc>
          <w:tcPr>
            <w:tcW w:w="2340" w:type="dxa"/>
            <w:tcMar>
              <w:top w:w="100" w:type="dxa"/>
              <w:left w:w="100" w:type="dxa"/>
              <w:bottom w:w="100" w:type="dxa"/>
              <w:right w:w="100" w:type="dxa"/>
            </w:tcMar>
          </w:tcPr>
          <w:p w14:paraId="528F4576"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Financials</w:t>
            </w:r>
          </w:p>
        </w:tc>
      </w:tr>
      <w:tr w:rsidR="00250330" w14:paraId="3F466A8C" w14:textId="77777777">
        <w:tc>
          <w:tcPr>
            <w:tcW w:w="2340" w:type="dxa"/>
            <w:tcMar>
              <w:top w:w="100" w:type="dxa"/>
              <w:left w:w="100" w:type="dxa"/>
              <w:bottom w:w="100" w:type="dxa"/>
              <w:right w:w="100" w:type="dxa"/>
            </w:tcMar>
          </w:tcPr>
          <w:p w14:paraId="115920DE"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CAC: NASDAQ</w:t>
            </w:r>
          </w:p>
        </w:tc>
        <w:tc>
          <w:tcPr>
            <w:tcW w:w="2340" w:type="dxa"/>
            <w:tcMar>
              <w:top w:w="100" w:type="dxa"/>
              <w:left w:w="100" w:type="dxa"/>
              <w:bottom w:w="100" w:type="dxa"/>
              <w:right w:w="100" w:type="dxa"/>
            </w:tcMar>
          </w:tcPr>
          <w:p w14:paraId="234EA64A"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Camden National Corporation</w:t>
            </w:r>
          </w:p>
        </w:tc>
        <w:tc>
          <w:tcPr>
            <w:tcW w:w="2340" w:type="dxa"/>
            <w:tcMar>
              <w:top w:w="100" w:type="dxa"/>
              <w:left w:w="100" w:type="dxa"/>
              <w:bottom w:w="100" w:type="dxa"/>
              <w:right w:w="100" w:type="dxa"/>
            </w:tcMar>
          </w:tcPr>
          <w:p w14:paraId="1B4E1CDB"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Maine-based</w:t>
            </w:r>
          </w:p>
        </w:tc>
        <w:tc>
          <w:tcPr>
            <w:tcW w:w="2340" w:type="dxa"/>
            <w:tcMar>
              <w:top w:w="100" w:type="dxa"/>
              <w:left w:w="100" w:type="dxa"/>
              <w:bottom w:w="100" w:type="dxa"/>
              <w:right w:w="100" w:type="dxa"/>
            </w:tcMar>
          </w:tcPr>
          <w:p w14:paraId="1EB5CB56"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Financials</w:t>
            </w:r>
          </w:p>
        </w:tc>
      </w:tr>
      <w:tr w:rsidR="00250330" w14:paraId="32891857" w14:textId="77777777">
        <w:tc>
          <w:tcPr>
            <w:tcW w:w="2340" w:type="dxa"/>
            <w:tcMar>
              <w:top w:w="100" w:type="dxa"/>
              <w:left w:w="100" w:type="dxa"/>
              <w:bottom w:w="100" w:type="dxa"/>
              <w:right w:w="100" w:type="dxa"/>
            </w:tcMar>
          </w:tcPr>
          <w:p w14:paraId="0B726191"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CHRT: NASDAQ</w:t>
            </w:r>
          </w:p>
        </w:tc>
        <w:tc>
          <w:tcPr>
            <w:tcW w:w="2340" w:type="dxa"/>
            <w:tcMar>
              <w:top w:w="100" w:type="dxa"/>
              <w:left w:w="100" w:type="dxa"/>
              <w:bottom w:w="100" w:type="dxa"/>
              <w:right w:w="100" w:type="dxa"/>
            </w:tcMar>
          </w:tcPr>
          <w:p w14:paraId="3E15AFF3"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Charter Communications, Inc.</w:t>
            </w:r>
          </w:p>
        </w:tc>
        <w:tc>
          <w:tcPr>
            <w:tcW w:w="2340" w:type="dxa"/>
            <w:tcMar>
              <w:top w:w="100" w:type="dxa"/>
              <w:left w:w="100" w:type="dxa"/>
              <w:bottom w:w="100" w:type="dxa"/>
              <w:right w:w="100" w:type="dxa"/>
            </w:tcMar>
          </w:tcPr>
          <w:p w14:paraId="610BC090"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1AE73280"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Communication Services</w:t>
            </w:r>
          </w:p>
        </w:tc>
      </w:tr>
      <w:tr w:rsidR="00250330" w14:paraId="12DCC304" w14:textId="77777777">
        <w:tc>
          <w:tcPr>
            <w:tcW w:w="2340" w:type="dxa"/>
            <w:tcMar>
              <w:top w:w="100" w:type="dxa"/>
              <w:left w:w="100" w:type="dxa"/>
              <w:bottom w:w="100" w:type="dxa"/>
              <w:right w:w="100" w:type="dxa"/>
            </w:tcMar>
          </w:tcPr>
          <w:p w14:paraId="50779227"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CL: NYSE</w:t>
            </w:r>
          </w:p>
        </w:tc>
        <w:tc>
          <w:tcPr>
            <w:tcW w:w="2340" w:type="dxa"/>
            <w:tcMar>
              <w:top w:w="100" w:type="dxa"/>
              <w:left w:w="100" w:type="dxa"/>
              <w:bottom w:w="100" w:type="dxa"/>
              <w:right w:w="100" w:type="dxa"/>
            </w:tcMar>
          </w:tcPr>
          <w:p w14:paraId="162EC620" w14:textId="77777777" w:rsidR="00250330" w:rsidRDefault="00000000">
            <w:pPr>
              <w:widowControl w:val="0"/>
              <w:spacing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Colgate-palmolive</w:t>
            </w:r>
            <w:proofErr w:type="spellEnd"/>
            <w:r>
              <w:rPr>
                <w:rFonts w:ascii="Times New Roman" w:eastAsia="Times New Roman" w:hAnsi="Times New Roman" w:cs="Times New Roman"/>
              </w:rPr>
              <w:t xml:space="preserve"> Company</w:t>
            </w:r>
          </w:p>
        </w:tc>
        <w:tc>
          <w:tcPr>
            <w:tcW w:w="2340" w:type="dxa"/>
            <w:tcMar>
              <w:top w:w="100" w:type="dxa"/>
              <w:left w:w="100" w:type="dxa"/>
              <w:bottom w:w="100" w:type="dxa"/>
              <w:right w:w="100" w:type="dxa"/>
            </w:tcMar>
          </w:tcPr>
          <w:p w14:paraId="1B7378F1"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Maine-based</w:t>
            </w:r>
          </w:p>
        </w:tc>
        <w:tc>
          <w:tcPr>
            <w:tcW w:w="2340" w:type="dxa"/>
            <w:tcMar>
              <w:top w:w="100" w:type="dxa"/>
              <w:left w:w="100" w:type="dxa"/>
              <w:bottom w:w="100" w:type="dxa"/>
              <w:right w:w="100" w:type="dxa"/>
            </w:tcMar>
          </w:tcPr>
          <w:p w14:paraId="37F37BAF"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Consumer Staples</w:t>
            </w:r>
          </w:p>
        </w:tc>
      </w:tr>
      <w:tr w:rsidR="00250330" w14:paraId="43BFE077" w14:textId="77777777">
        <w:tc>
          <w:tcPr>
            <w:tcW w:w="2340" w:type="dxa"/>
            <w:tcMar>
              <w:top w:w="100" w:type="dxa"/>
              <w:left w:w="100" w:type="dxa"/>
              <w:bottom w:w="100" w:type="dxa"/>
              <w:right w:w="100" w:type="dxa"/>
            </w:tcMar>
          </w:tcPr>
          <w:p w14:paraId="3A322D25"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DRI: NYSE</w:t>
            </w:r>
          </w:p>
        </w:tc>
        <w:tc>
          <w:tcPr>
            <w:tcW w:w="2340" w:type="dxa"/>
            <w:tcMar>
              <w:top w:w="100" w:type="dxa"/>
              <w:left w:w="100" w:type="dxa"/>
              <w:bottom w:w="100" w:type="dxa"/>
              <w:right w:w="100" w:type="dxa"/>
            </w:tcMar>
          </w:tcPr>
          <w:p w14:paraId="31FAC33A"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Darden Restaurants, Inc.</w:t>
            </w:r>
          </w:p>
        </w:tc>
        <w:tc>
          <w:tcPr>
            <w:tcW w:w="2340" w:type="dxa"/>
            <w:tcMar>
              <w:top w:w="100" w:type="dxa"/>
              <w:left w:w="100" w:type="dxa"/>
              <w:bottom w:w="100" w:type="dxa"/>
              <w:right w:w="100" w:type="dxa"/>
            </w:tcMar>
          </w:tcPr>
          <w:p w14:paraId="7C20594A"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000E6831"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Consumer </w:t>
            </w:r>
            <w:proofErr w:type="spellStart"/>
            <w:r>
              <w:rPr>
                <w:rFonts w:ascii="Times New Roman" w:eastAsia="Times New Roman" w:hAnsi="Times New Roman" w:cs="Times New Roman"/>
              </w:rPr>
              <w:t>Discretionaries</w:t>
            </w:r>
            <w:proofErr w:type="spellEnd"/>
            <w:r>
              <w:rPr>
                <w:rFonts w:ascii="Times New Roman" w:eastAsia="Times New Roman" w:hAnsi="Times New Roman" w:cs="Times New Roman"/>
              </w:rPr>
              <w:t xml:space="preserve"> </w:t>
            </w:r>
          </w:p>
        </w:tc>
      </w:tr>
      <w:tr w:rsidR="00250330" w14:paraId="34EBB62C" w14:textId="77777777">
        <w:tc>
          <w:tcPr>
            <w:tcW w:w="2340" w:type="dxa"/>
            <w:tcMar>
              <w:top w:w="100" w:type="dxa"/>
              <w:left w:w="100" w:type="dxa"/>
              <w:bottom w:w="100" w:type="dxa"/>
              <w:right w:w="100" w:type="dxa"/>
            </w:tcMar>
          </w:tcPr>
          <w:p w14:paraId="331305B5"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FNLC: NASDAQ</w:t>
            </w:r>
          </w:p>
        </w:tc>
        <w:tc>
          <w:tcPr>
            <w:tcW w:w="2340" w:type="dxa"/>
            <w:tcMar>
              <w:top w:w="100" w:type="dxa"/>
              <w:left w:w="100" w:type="dxa"/>
              <w:bottom w:w="100" w:type="dxa"/>
              <w:right w:w="100" w:type="dxa"/>
            </w:tcMar>
          </w:tcPr>
          <w:p w14:paraId="7BCEB503"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The First Bancorp, Inc.</w:t>
            </w:r>
          </w:p>
        </w:tc>
        <w:tc>
          <w:tcPr>
            <w:tcW w:w="2340" w:type="dxa"/>
            <w:tcMar>
              <w:top w:w="100" w:type="dxa"/>
              <w:left w:w="100" w:type="dxa"/>
              <w:bottom w:w="100" w:type="dxa"/>
              <w:right w:w="100" w:type="dxa"/>
            </w:tcMar>
          </w:tcPr>
          <w:p w14:paraId="44032023"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Maine-based</w:t>
            </w:r>
          </w:p>
        </w:tc>
        <w:tc>
          <w:tcPr>
            <w:tcW w:w="2340" w:type="dxa"/>
            <w:tcMar>
              <w:top w:w="100" w:type="dxa"/>
              <w:left w:w="100" w:type="dxa"/>
              <w:bottom w:w="100" w:type="dxa"/>
              <w:right w:w="100" w:type="dxa"/>
            </w:tcMar>
          </w:tcPr>
          <w:p w14:paraId="46F4B5B5"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Financials</w:t>
            </w:r>
          </w:p>
        </w:tc>
      </w:tr>
      <w:tr w:rsidR="00250330" w14:paraId="345DE83F" w14:textId="77777777">
        <w:tc>
          <w:tcPr>
            <w:tcW w:w="2340" w:type="dxa"/>
            <w:tcMar>
              <w:top w:w="100" w:type="dxa"/>
              <w:left w:w="100" w:type="dxa"/>
              <w:bottom w:w="100" w:type="dxa"/>
              <w:right w:w="100" w:type="dxa"/>
            </w:tcMar>
          </w:tcPr>
          <w:p w14:paraId="51B89285"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GD: NYSE</w:t>
            </w:r>
          </w:p>
        </w:tc>
        <w:tc>
          <w:tcPr>
            <w:tcW w:w="2340" w:type="dxa"/>
            <w:tcMar>
              <w:top w:w="100" w:type="dxa"/>
              <w:left w:w="100" w:type="dxa"/>
              <w:bottom w:w="100" w:type="dxa"/>
              <w:right w:w="100" w:type="dxa"/>
            </w:tcMar>
          </w:tcPr>
          <w:p w14:paraId="30D9DEAB"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General Dynamics Corporation</w:t>
            </w:r>
          </w:p>
        </w:tc>
        <w:tc>
          <w:tcPr>
            <w:tcW w:w="2340" w:type="dxa"/>
            <w:tcMar>
              <w:top w:w="100" w:type="dxa"/>
              <w:left w:w="100" w:type="dxa"/>
              <w:bottom w:w="100" w:type="dxa"/>
              <w:right w:w="100" w:type="dxa"/>
            </w:tcMar>
          </w:tcPr>
          <w:p w14:paraId="3140249B"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04C92A06"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Financials</w:t>
            </w:r>
          </w:p>
        </w:tc>
      </w:tr>
      <w:tr w:rsidR="00250330" w14:paraId="3CDB97D2" w14:textId="77777777">
        <w:tc>
          <w:tcPr>
            <w:tcW w:w="2340" w:type="dxa"/>
            <w:tcMar>
              <w:top w:w="100" w:type="dxa"/>
              <w:left w:w="100" w:type="dxa"/>
              <w:bottom w:w="100" w:type="dxa"/>
              <w:right w:w="100" w:type="dxa"/>
            </w:tcMar>
          </w:tcPr>
          <w:p w14:paraId="11A377FB"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HLT: NYSE</w:t>
            </w:r>
          </w:p>
        </w:tc>
        <w:tc>
          <w:tcPr>
            <w:tcW w:w="2340" w:type="dxa"/>
            <w:tcMar>
              <w:top w:w="100" w:type="dxa"/>
              <w:left w:w="100" w:type="dxa"/>
              <w:bottom w:w="100" w:type="dxa"/>
              <w:right w:w="100" w:type="dxa"/>
            </w:tcMar>
          </w:tcPr>
          <w:p w14:paraId="473E8969"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Hilton Worldwide Holding, Inc.</w:t>
            </w:r>
          </w:p>
        </w:tc>
        <w:tc>
          <w:tcPr>
            <w:tcW w:w="2340" w:type="dxa"/>
            <w:tcMar>
              <w:top w:w="100" w:type="dxa"/>
              <w:left w:w="100" w:type="dxa"/>
              <w:bottom w:w="100" w:type="dxa"/>
              <w:right w:w="100" w:type="dxa"/>
            </w:tcMar>
          </w:tcPr>
          <w:p w14:paraId="452A67F2"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06E290D9"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Consumer </w:t>
            </w:r>
            <w:proofErr w:type="spellStart"/>
            <w:r>
              <w:rPr>
                <w:rFonts w:ascii="Times New Roman" w:eastAsia="Times New Roman" w:hAnsi="Times New Roman" w:cs="Times New Roman"/>
              </w:rPr>
              <w:t>Discretionaries</w:t>
            </w:r>
            <w:proofErr w:type="spellEnd"/>
            <w:r>
              <w:rPr>
                <w:rFonts w:ascii="Times New Roman" w:eastAsia="Times New Roman" w:hAnsi="Times New Roman" w:cs="Times New Roman"/>
              </w:rPr>
              <w:t xml:space="preserve"> </w:t>
            </w:r>
          </w:p>
        </w:tc>
      </w:tr>
      <w:tr w:rsidR="00250330" w14:paraId="2C1543C7" w14:textId="77777777">
        <w:tc>
          <w:tcPr>
            <w:tcW w:w="2340" w:type="dxa"/>
            <w:tcMar>
              <w:top w:w="100" w:type="dxa"/>
              <w:left w:w="100" w:type="dxa"/>
              <w:bottom w:w="100" w:type="dxa"/>
              <w:right w:w="100" w:type="dxa"/>
            </w:tcMar>
          </w:tcPr>
          <w:p w14:paraId="4F5C159A"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HD: NYSE</w:t>
            </w:r>
          </w:p>
        </w:tc>
        <w:tc>
          <w:tcPr>
            <w:tcW w:w="2340" w:type="dxa"/>
            <w:tcMar>
              <w:top w:w="100" w:type="dxa"/>
              <w:left w:w="100" w:type="dxa"/>
              <w:bottom w:w="100" w:type="dxa"/>
              <w:right w:w="100" w:type="dxa"/>
            </w:tcMar>
          </w:tcPr>
          <w:p w14:paraId="1AB58545"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The Home Depot, Inc.</w:t>
            </w:r>
          </w:p>
        </w:tc>
        <w:tc>
          <w:tcPr>
            <w:tcW w:w="2340" w:type="dxa"/>
            <w:tcMar>
              <w:top w:w="100" w:type="dxa"/>
              <w:left w:w="100" w:type="dxa"/>
              <w:bottom w:w="100" w:type="dxa"/>
              <w:right w:w="100" w:type="dxa"/>
            </w:tcMar>
          </w:tcPr>
          <w:p w14:paraId="40C6771E"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18D48594"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Consumer </w:t>
            </w:r>
            <w:proofErr w:type="spellStart"/>
            <w:r>
              <w:rPr>
                <w:rFonts w:ascii="Times New Roman" w:eastAsia="Times New Roman" w:hAnsi="Times New Roman" w:cs="Times New Roman"/>
              </w:rPr>
              <w:t>Discretionaries</w:t>
            </w:r>
            <w:proofErr w:type="spellEnd"/>
            <w:r>
              <w:rPr>
                <w:rFonts w:ascii="Times New Roman" w:eastAsia="Times New Roman" w:hAnsi="Times New Roman" w:cs="Times New Roman"/>
              </w:rPr>
              <w:t xml:space="preserve"> </w:t>
            </w:r>
          </w:p>
        </w:tc>
      </w:tr>
      <w:tr w:rsidR="00250330" w14:paraId="4F7E2882" w14:textId="77777777">
        <w:tc>
          <w:tcPr>
            <w:tcW w:w="2340" w:type="dxa"/>
            <w:tcMar>
              <w:top w:w="100" w:type="dxa"/>
              <w:left w:w="100" w:type="dxa"/>
              <w:bottom w:w="100" w:type="dxa"/>
              <w:right w:w="100" w:type="dxa"/>
            </w:tcMar>
          </w:tcPr>
          <w:p w14:paraId="46D5E7EF"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ICC: NASDAQ</w:t>
            </w:r>
          </w:p>
        </w:tc>
        <w:tc>
          <w:tcPr>
            <w:tcW w:w="2340" w:type="dxa"/>
            <w:tcMar>
              <w:top w:w="100" w:type="dxa"/>
              <w:left w:w="100" w:type="dxa"/>
              <w:bottom w:w="100" w:type="dxa"/>
              <w:right w:w="100" w:type="dxa"/>
            </w:tcMar>
          </w:tcPr>
          <w:p w14:paraId="172F8FF9" w14:textId="77777777" w:rsidR="00250330" w:rsidRDefault="00000000">
            <w:pPr>
              <w:widowControl w:val="0"/>
              <w:spacing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rPr>
              <w:t>ImmuCell</w:t>
            </w:r>
            <w:proofErr w:type="spellEnd"/>
            <w:r>
              <w:rPr>
                <w:rFonts w:ascii="Times New Roman" w:eastAsia="Times New Roman" w:hAnsi="Times New Roman" w:cs="Times New Roman"/>
              </w:rPr>
              <w:t xml:space="preserve"> Corporation </w:t>
            </w:r>
          </w:p>
        </w:tc>
        <w:tc>
          <w:tcPr>
            <w:tcW w:w="2340" w:type="dxa"/>
            <w:tcMar>
              <w:top w:w="100" w:type="dxa"/>
              <w:left w:w="100" w:type="dxa"/>
              <w:bottom w:w="100" w:type="dxa"/>
              <w:right w:w="100" w:type="dxa"/>
            </w:tcMar>
          </w:tcPr>
          <w:p w14:paraId="16B2F643"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Maine-based</w:t>
            </w:r>
          </w:p>
        </w:tc>
        <w:tc>
          <w:tcPr>
            <w:tcW w:w="2340" w:type="dxa"/>
            <w:tcMar>
              <w:top w:w="100" w:type="dxa"/>
              <w:left w:w="100" w:type="dxa"/>
              <w:bottom w:w="100" w:type="dxa"/>
              <w:right w:w="100" w:type="dxa"/>
            </w:tcMar>
          </w:tcPr>
          <w:p w14:paraId="6A9E21A8"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Health Care </w:t>
            </w:r>
          </w:p>
        </w:tc>
      </w:tr>
      <w:tr w:rsidR="00250330" w14:paraId="0BC51BB5" w14:textId="77777777">
        <w:tc>
          <w:tcPr>
            <w:tcW w:w="2340" w:type="dxa"/>
            <w:tcMar>
              <w:top w:w="100" w:type="dxa"/>
              <w:left w:w="100" w:type="dxa"/>
              <w:bottom w:w="100" w:type="dxa"/>
              <w:right w:w="100" w:type="dxa"/>
            </w:tcMar>
          </w:tcPr>
          <w:p w14:paraId="35E4F472"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IDXX: NASDAQ</w:t>
            </w:r>
          </w:p>
        </w:tc>
        <w:tc>
          <w:tcPr>
            <w:tcW w:w="2340" w:type="dxa"/>
            <w:tcMar>
              <w:top w:w="100" w:type="dxa"/>
              <w:left w:w="100" w:type="dxa"/>
              <w:bottom w:w="100" w:type="dxa"/>
              <w:right w:w="100" w:type="dxa"/>
            </w:tcMar>
          </w:tcPr>
          <w:p w14:paraId="2B827E80"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IDEXX Laboratories, Inc.</w:t>
            </w:r>
          </w:p>
        </w:tc>
        <w:tc>
          <w:tcPr>
            <w:tcW w:w="2340" w:type="dxa"/>
            <w:tcMar>
              <w:top w:w="100" w:type="dxa"/>
              <w:left w:w="100" w:type="dxa"/>
              <w:bottom w:w="100" w:type="dxa"/>
              <w:right w:w="100" w:type="dxa"/>
            </w:tcMar>
          </w:tcPr>
          <w:p w14:paraId="483BBA1C"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Maine-based</w:t>
            </w:r>
          </w:p>
        </w:tc>
        <w:tc>
          <w:tcPr>
            <w:tcW w:w="2340" w:type="dxa"/>
            <w:tcMar>
              <w:top w:w="100" w:type="dxa"/>
              <w:left w:w="100" w:type="dxa"/>
              <w:bottom w:w="100" w:type="dxa"/>
              <w:right w:w="100" w:type="dxa"/>
            </w:tcMar>
          </w:tcPr>
          <w:p w14:paraId="365F9432"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Health Care </w:t>
            </w:r>
          </w:p>
        </w:tc>
      </w:tr>
      <w:tr w:rsidR="00250330" w14:paraId="2B7C924E" w14:textId="77777777">
        <w:tc>
          <w:tcPr>
            <w:tcW w:w="2340" w:type="dxa"/>
            <w:tcMar>
              <w:top w:w="100" w:type="dxa"/>
              <w:left w:w="100" w:type="dxa"/>
              <w:bottom w:w="100" w:type="dxa"/>
              <w:right w:w="100" w:type="dxa"/>
            </w:tcMar>
          </w:tcPr>
          <w:p w14:paraId="23C4A48E"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lastRenderedPageBreak/>
              <w:t>LOW: NYSE</w:t>
            </w:r>
          </w:p>
        </w:tc>
        <w:tc>
          <w:tcPr>
            <w:tcW w:w="2340" w:type="dxa"/>
            <w:tcMar>
              <w:top w:w="100" w:type="dxa"/>
              <w:left w:w="100" w:type="dxa"/>
              <w:bottom w:w="100" w:type="dxa"/>
              <w:right w:w="100" w:type="dxa"/>
            </w:tcMar>
          </w:tcPr>
          <w:p w14:paraId="49E99F19"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Lowe’s Companies, Inc.</w:t>
            </w:r>
          </w:p>
        </w:tc>
        <w:tc>
          <w:tcPr>
            <w:tcW w:w="2340" w:type="dxa"/>
            <w:tcMar>
              <w:top w:w="100" w:type="dxa"/>
              <w:left w:w="100" w:type="dxa"/>
              <w:bottom w:w="100" w:type="dxa"/>
              <w:right w:w="100" w:type="dxa"/>
            </w:tcMar>
          </w:tcPr>
          <w:p w14:paraId="22894ED0"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08A1350B"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Consumer </w:t>
            </w:r>
            <w:proofErr w:type="spellStart"/>
            <w:r>
              <w:rPr>
                <w:rFonts w:ascii="Times New Roman" w:eastAsia="Times New Roman" w:hAnsi="Times New Roman" w:cs="Times New Roman"/>
              </w:rPr>
              <w:t>Discretionaries</w:t>
            </w:r>
            <w:proofErr w:type="spellEnd"/>
            <w:r>
              <w:rPr>
                <w:rFonts w:ascii="Times New Roman" w:eastAsia="Times New Roman" w:hAnsi="Times New Roman" w:cs="Times New Roman"/>
              </w:rPr>
              <w:t xml:space="preserve"> </w:t>
            </w:r>
          </w:p>
        </w:tc>
      </w:tr>
      <w:tr w:rsidR="00250330" w14:paraId="04DB563A" w14:textId="77777777">
        <w:tc>
          <w:tcPr>
            <w:tcW w:w="2340" w:type="dxa"/>
            <w:tcMar>
              <w:top w:w="100" w:type="dxa"/>
              <w:left w:w="100" w:type="dxa"/>
              <w:bottom w:w="100" w:type="dxa"/>
              <w:right w:w="100" w:type="dxa"/>
            </w:tcMar>
          </w:tcPr>
          <w:p w14:paraId="650593B9"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MCD: NYSE</w:t>
            </w:r>
          </w:p>
        </w:tc>
        <w:tc>
          <w:tcPr>
            <w:tcW w:w="2340" w:type="dxa"/>
            <w:tcMar>
              <w:top w:w="100" w:type="dxa"/>
              <w:left w:w="100" w:type="dxa"/>
              <w:bottom w:w="100" w:type="dxa"/>
              <w:right w:w="100" w:type="dxa"/>
            </w:tcMar>
          </w:tcPr>
          <w:p w14:paraId="220114CC"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McDonalds Corporation</w:t>
            </w:r>
          </w:p>
        </w:tc>
        <w:tc>
          <w:tcPr>
            <w:tcW w:w="2340" w:type="dxa"/>
            <w:tcMar>
              <w:top w:w="100" w:type="dxa"/>
              <w:left w:w="100" w:type="dxa"/>
              <w:bottom w:w="100" w:type="dxa"/>
              <w:right w:w="100" w:type="dxa"/>
            </w:tcMar>
          </w:tcPr>
          <w:p w14:paraId="1E87A1DD"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54596743"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Consumer </w:t>
            </w:r>
            <w:proofErr w:type="spellStart"/>
            <w:r>
              <w:rPr>
                <w:rFonts w:ascii="Times New Roman" w:eastAsia="Times New Roman" w:hAnsi="Times New Roman" w:cs="Times New Roman"/>
              </w:rPr>
              <w:t>Discretionaries</w:t>
            </w:r>
            <w:proofErr w:type="spellEnd"/>
            <w:r>
              <w:rPr>
                <w:rFonts w:ascii="Times New Roman" w:eastAsia="Times New Roman" w:hAnsi="Times New Roman" w:cs="Times New Roman"/>
              </w:rPr>
              <w:t xml:space="preserve"> </w:t>
            </w:r>
          </w:p>
        </w:tc>
      </w:tr>
      <w:tr w:rsidR="00250330" w14:paraId="6DA105AF" w14:textId="77777777">
        <w:tc>
          <w:tcPr>
            <w:tcW w:w="2340" w:type="dxa"/>
            <w:tcMar>
              <w:top w:w="100" w:type="dxa"/>
              <w:left w:w="100" w:type="dxa"/>
              <w:bottom w:w="100" w:type="dxa"/>
              <w:right w:w="100" w:type="dxa"/>
            </w:tcMar>
          </w:tcPr>
          <w:p w14:paraId="6D879D39"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NBN: NASDAQ</w:t>
            </w:r>
          </w:p>
        </w:tc>
        <w:tc>
          <w:tcPr>
            <w:tcW w:w="2340" w:type="dxa"/>
            <w:tcMar>
              <w:top w:w="100" w:type="dxa"/>
              <w:left w:w="100" w:type="dxa"/>
              <w:bottom w:w="100" w:type="dxa"/>
              <w:right w:w="100" w:type="dxa"/>
            </w:tcMar>
          </w:tcPr>
          <w:p w14:paraId="06A78FB8"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Northeast Bank</w:t>
            </w:r>
          </w:p>
        </w:tc>
        <w:tc>
          <w:tcPr>
            <w:tcW w:w="2340" w:type="dxa"/>
            <w:tcMar>
              <w:top w:w="100" w:type="dxa"/>
              <w:left w:w="100" w:type="dxa"/>
              <w:bottom w:w="100" w:type="dxa"/>
              <w:right w:w="100" w:type="dxa"/>
            </w:tcMar>
          </w:tcPr>
          <w:p w14:paraId="65412AA2"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Maine-based</w:t>
            </w:r>
          </w:p>
        </w:tc>
        <w:tc>
          <w:tcPr>
            <w:tcW w:w="2340" w:type="dxa"/>
            <w:tcMar>
              <w:top w:w="100" w:type="dxa"/>
              <w:left w:w="100" w:type="dxa"/>
              <w:bottom w:w="100" w:type="dxa"/>
              <w:right w:w="100" w:type="dxa"/>
            </w:tcMar>
          </w:tcPr>
          <w:p w14:paraId="100D69D0"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Financials</w:t>
            </w:r>
          </w:p>
        </w:tc>
      </w:tr>
      <w:tr w:rsidR="00250330" w14:paraId="1BF9CA35" w14:textId="77777777">
        <w:tc>
          <w:tcPr>
            <w:tcW w:w="2340" w:type="dxa"/>
            <w:tcMar>
              <w:top w:w="100" w:type="dxa"/>
              <w:left w:w="100" w:type="dxa"/>
              <w:bottom w:w="100" w:type="dxa"/>
              <w:right w:w="100" w:type="dxa"/>
            </w:tcMar>
          </w:tcPr>
          <w:p w14:paraId="55640275"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PENN: NASDAQ</w:t>
            </w:r>
          </w:p>
        </w:tc>
        <w:tc>
          <w:tcPr>
            <w:tcW w:w="2340" w:type="dxa"/>
            <w:tcMar>
              <w:top w:w="100" w:type="dxa"/>
              <w:left w:w="100" w:type="dxa"/>
              <w:bottom w:w="100" w:type="dxa"/>
              <w:right w:w="100" w:type="dxa"/>
            </w:tcMar>
          </w:tcPr>
          <w:p w14:paraId="78BF3451"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Penn National Gaming, Inc.</w:t>
            </w:r>
          </w:p>
        </w:tc>
        <w:tc>
          <w:tcPr>
            <w:tcW w:w="2340" w:type="dxa"/>
            <w:tcMar>
              <w:top w:w="100" w:type="dxa"/>
              <w:left w:w="100" w:type="dxa"/>
              <w:bottom w:w="100" w:type="dxa"/>
              <w:right w:w="100" w:type="dxa"/>
            </w:tcMar>
          </w:tcPr>
          <w:p w14:paraId="5A470441"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717B22FA"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Consumer </w:t>
            </w:r>
            <w:proofErr w:type="spellStart"/>
            <w:r>
              <w:rPr>
                <w:rFonts w:ascii="Times New Roman" w:eastAsia="Times New Roman" w:hAnsi="Times New Roman" w:cs="Times New Roman"/>
              </w:rPr>
              <w:t>Discretionaries</w:t>
            </w:r>
            <w:proofErr w:type="spellEnd"/>
            <w:r>
              <w:rPr>
                <w:rFonts w:ascii="Times New Roman" w:eastAsia="Times New Roman" w:hAnsi="Times New Roman" w:cs="Times New Roman"/>
              </w:rPr>
              <w:t xml:space="preserve"> </w:t>
            </w:r>
          </w:p>
        </w:tc>
      </w:tr>
      <w:tr w:rsidR="00250330" w14:paraId="14DD1714" w14:textId="77777777">
        <w:tc>
          <w:tcPr>
            <w:tcW w:w="2340" w:type="dxa"/>
            <w:tcMar>
              <w:top w:w="100" w:type="dxa"/>
              <w:left w:w="100" w:type="dxa"/>
              <w:bottom w:w="100" w:type="dxa"/>
              <w:right w:w="100" w:type="dxa"/>
            </w:tcMar>
          </w:tcPr>
          <w:p w14:paraId="58CF109E"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RTX: NYSE</w:t>
            </w:r>
          </w:p>
        </w:tc>
        <w:tc>
          <w:tcPr>
            <w:tcW w:w="2340" w:type="dxa"/>
            <w:tcMar>
              <w:top w:w="100" w:type="dxa"/>
              <w:left w:w="100" w:type="dxa"/>
              <w:bottom w:w="100" w:type="dxa"/>
              <w:right w:w="100" w:type="dxa"/>
            </w:tcMar>
          </w:tcPr>
          <w:p w14:paraId="1ABD7489"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Raytheon Technologies Corporation</w:t>
            </w:r>
          </w:p>
        </w:tc>
        <w:tc>
          <w:tcPr>
            <w:tcW w:w="2340" w:type="dxa"/>
            <w:tcMar>
              <w:top w:w="100" w:type="dxa"/>
              <w:left w:w="100" w:type="dxa"/>
              <w:bottom w:w="100" w:type="dxa"/>
              <w:right w:w="100" w:type="dxa"/>
            </w:tcMar>
          </w:tcPr>
          <w:p w14:paraId="712C7E43"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52F4D004"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Industrials</w:t>
            </w:r>
          </w:p>
        </w:tc>
      </w:tr>
      <w:tr w:rsidR="00250330" w14:paraId="6F8B50E2" w14:textId="77777777">
        <w:tc>
          <w:tcPr>
            <w:tcW w:w="2340" w:type="dxa"/>
            <w:tcMar>
              <w:top w:w="100" w:type="dxa"/>
              <w:left w:w="100" w:type="dxa"/>
              <w:bottom w:w="100" w:type="dxa"/>
              <w:right w:w="100" w:type="dxa"/>
            </w:tcMar>
          </w:tcPr>
          <w:p w14:paraId="00CB03C8"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TD: NYSE</w:t>
            </w:r>
          </w:p>
        </w:tc>
        <w:tc>
          <w:tcPr>
            <w:tcW w:w="2340" w:type="dxa"/>
            <w:tcMar>
              <w:top w:w="100" w:type="dxa"/>
              <w:left w:w="100" w:type="dxa"/>
              <w:bottom w:w="100" w:type="dxa"/>
              <w:right w:w="100" w:type="dxa"/>
            </w:tcMar>
          </w:tcPr>
          <w:p w14:paraId="075CB4E6"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The Toronto-Dominion Bank</w:t>
            </w:r>
          </w:p>
        </w:tc>
        <w:tc>
          <w:tcPr>
            <w:tcW w:w="2340" w:type="dxa"/>
            <w:tcMar>
              <w:top w:w="100" w:type="dxa"/>
              <w:left w:w="100" w:type="dxa"/>
              <w:bottom w:w="100" w:type="dxa"/>
              <w:right w:w="100" w:type="dxa"/>
            </w:tcMar>
          </w:tcPr>
          <w:p w14:paraId="0A94999A"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01D550D9"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Financials</w:t>
            </w:r>
          </w:p>
        </w:tc>
      </w:tr>
      <w:tr w:rsidR="00250330" w14:paraId="37012D48" w14:textId="77777777">
        <w:tc>
          <w:tcPr>
            <w:tcW w:w="2340" w:type="dxa"/>
            <w:tcMar>
              <w:top w:w="100" w:type="dxa"/>
              <w:left w:w="100" w:type="dxa"/>
              <w:bottom w:w="100" w:type="dxa"/>
              <w:right w:w="100" w:type="dxa"/>
            </w:tcMar>
          </w:tcPr>
          <w:p w14:paraId="4EAAF191"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TMUS: NASDAQ</w:t>
            </w:r>
          </w:p>
        </w:tc>
        <w:tc>
          <w:tcPr>
            <w:tcW w:w="2340" w:type="dxa"/>
            <w:tcMar>
              <w:top w:w="100" w:type="dxa"/>
              <w:left w:w="100" w:type="dxa"/>
              <w:bottom w:w="100" w:type="dxa"/>
              <w:right w:w="100" w:type="dxa"/>
            </w:tcMar>
          </w:tcPr>
          <w:p w14:paraId="0F02196D"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T-Mobile US, Inc.</w:t>
            </w:r>
          </w:p>
        </w:tc>
        <w:tc>
          <w:tcPr>
            <w:tcW w:w="2340" w:type="dxa"/>
            <w:tcMar>
              <w:top w:w="100" w:type="dxa"/>
              <w:left w:w="100" w:type="dxa"/>
              <w:bottom w:w="100" w:type="dxa"/>
              <w:right w:w="100" w:type="dxa"/>
            </w:tcMar>
          </w:tcPr>
          <w:p w14:paraId="5E962497"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4106A553"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Consumer Services</w:t>
            </w:r>
          </w:p>
        </w:tc>
      </w:tr>
      <w:tr w:rsidR="00250330" w14:paraId="065C4647" w14:textId="77777777">
        <w:tc>
          <w:tcPr>
            <w:tcW w:w="2340" w:type="dxa"/>
            <w:tcMar>
              <w:top w:w="100" w:type="dxa"/>
              <w:left w:w="100" w:type="dxa"/>
              <w:bottom w:w="100" w:type="dxa"/>
              <w:right w:w="100" w:type="dxa"/>
            </w:tcMar>
          </w:tcPr>
          <w:p w14:paraId="4332EB9D"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UPS: NYSE</w:t>
            </w:r>
          </w:p>
        </w:tc>
        <w:tc>
          <w:tcPr>
            <w:tcW w:w="2340" w:type="dxa"/>
            <w:tcMar>
              <w:top w:w="100" w:type="dxa"/>
              <w:left w:w="100" w:type="dxa"/>
              <w:bottom w:w="100" w:type="dxa"/>
              <w:right w:w="100" w:type="dxa"/>
            </w:tcMar>
          </w:tcPr>
          <w:p w14:paraId="1385B251"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United Parcel Service, Inc. </w:t>
            </w:r>
          </w:p>
        </w:tc>
        <w:tc>
          <w:tcPr>
            <w:tcW w:w="2340" w:type="dxa"/>
            <w:tcMar>
              <w:top w:w="100" w:type="dxa"/>
              <w:left w:w="100" w:type="dxa"/>
              <w:bottom w:w="100" w:type="dxa"/>
              <w:right w:w="100" w:type="dxa"/>
            </w:tcMar>
          </w:tcPr>
          <w:p w14:paraId="0B167D75"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78D7B589"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Industrials</w:t>
            </w:r>
          </w:p>
        </w:tc>
      </w:tr>
      <w:tr w:rsidR="00250330" w14:paraId="30DFCE43" w14:textId="77777777">
        <w:tc>
          <w:tcPr>
            <w:tcW w:w="2340" w:type="dxa"/>
            <w:tcMar>
              <w:top w:w="100" w:type="dxa"/>
              <w:left w:w="100" w:type="dxa"/>
              <w:bottom w:w="100" w:type="dxa"/>
              <w:right w:w="100" w:type="dxa"/>
            </w:tcMar>
          </w:tcPr>
          <w:p w14:paraId="1D00CEDD"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UNM: NYSE</w:t>
            </w:r>
          </w:p>
        </w:tc>
        <w:tc>
          <w:tcPr>
            <w:tcW w:w="2340" w:type="dxa"/>
            <w:tcMar>
              <w:top w:w="100" w:type="dxa"/>
              <w:left w:w="100" w:type="dxa"/>
              <w:bottom w:w="100" w:type="dxa"/>
              <w:right w:w="100" w:type="dxa"/>
            </w:tcMar>
          </w:tcPr>
          <w:p w14:paraId="430CA92F"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UNUM Group</w:t>
            </w:r>
          </w:p>
        </w:tc>
        <w:tc>
          <w:tcPr>
            <w:tcW w:w="2340" w:type="dxa"/>
            <w:tcMar>
              <w:top w:w="100" w:type="dxa"/>
              <w:left w:w="100" w:type="dxa"/>
              <w:bottom w:w="100" w:type="dxa"/>
              <w:right w:w="100" w:type="dxa"/>
            </w:tcMar>
          </w:tcPr>
          <w:p w14:paraId="57C3530E"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7B5617E6"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Financials</w:t>
            </w:r>
          </w:p>
        </w:tc>
      </w:tr>
      <w:tr w:rsidR="00250330" w14:paraId="0BDDB398" w14:textId="77777777">
        <w:tc>
          <w:tcPr>
            <w:tcW w:w="2340" w:type="dxa"/>
            <w:tcMar>
              <w:top w:w="100" w:type="dxa"/>
              <w:left w:w="100" w:type="dxa"/>
              <w:bottom w:w="100" w:type="dxa"/>
              <w:right w:w="100" w:type="dxa"/>
            </w:tcMar>
          </w:tcPr>
          <w:p w14:paraId="14F8B5FC"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VLO: NYSE</w:t>
            </w:r>
          </w:p>
        </w:tc>
        <w:tc>
          <w:tcPr>
            <w:tcW w:w="2340" w:type="dxa"/>
            <w:tcMar>
              <w:top w:w="100" w:type="dxa"/>
              <w:left w:w="100" w:type="dxa"/>
              <w:bottom w:w="100" w:type="dxa"/>
              <w:right w:w="100" w:type="dxa"/>
            </w:tcMar>
          </w:tcPr>
          <w:p w14:paraId="246A4FA1"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Valero Energy Corporation</w:t>
            </w:r>
          </w:p>
        </w:tc>
        <w:tc>
          <w:tcPr>
            <w:tcW w:w="2340" w:type="dxa"/>
            <w:tcMar>
              <w:top w:w="100" w:type="dxa"/>
              <w:left w:w="100" w:type="dxa"/>
              <w:bottom w:w="100" w:type="dxa"/>
              <w:right w:w="100" w:type="dxa"/>
            </w:tcMar>
          </w:tcPr>
          <w:p w14:paraId="1D7D871E"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73B54324"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Energy</w:t>
            </w:r>
          </w:p>
        </w:tc>
      </w:tr>
      <w:tr w:rsidR="00250330" w14:paraId="2922A9E2" w14:textId="77777777">
        <w:tc>
          <w:tcPr>
            <w:tcW w:w="2340" w:type="dxa"/>
            <w:tcMar>
              <w:top w:w="100" w:type="dxa"/>
              <w:left w:w="100" w:type="dxa"/>
              <w:bottom w:w="100" w:type="dxa"/>
              <w:right w:w="100" w:type="dxa"/>
            </w:tcMar>
          </w:tcPr>
          <w:p w14:paraId="533F76E7"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WMT: NYSE</w:t>
            </w:r>
          </w:p>
        </w:tc>
        <w:tc>
          <w:tcPr>
            <w:tcW w:w="2340" w:type="dxa"/>
            <w:tcMar>
              <w:top w:w="100" w:type="dxa"/>
              <w:left w:w="100" w:type="dxa"/>
              <w:bottom w:w="100" w:type="dxa"/>
              <w:right w:w="100" w:type="dxa"/>
            </w:tcMar>
          </w:tcPr>
          <w:p w14:paraId="44C16DF5"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Walmart, Inc.</w:t>
            </w:r>
          </w:p>
        </w:tc>
        <w:tc>
          <w:tcPr>
            <w:tcW w:w="2340" w:type="dxa"/>
            <w:tcMar>
              <w:top w:w="100" w:type="dxa"/>
              <w:left w:w="100" w:type="dxa"/>
              <w:bottom w:w="100" w:type="dxa"/>
              <w:right w:w="100" w:type="dxa"/>
            </w:tcMar>
          </w:tcPr>
          <w:p w14:paraId="4BA43B60"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7686B6E0"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Consumer Services</w:t>
            </w:r>
          </w:p>
        </w:tc>
      </w:tr>
      <w:tr w:rsidR="00250330" w14:paraId="5E462B80" w14:textId="77777777">
        <w:tc>
          <w:tcPr>
            <w:tcW w:w="2340" w:type="dxa"/>
            <w:tcMar>
              <w:top w:w="100" w:type="dxa"/>
              <w:left w:w="100" w:type="dxa"/>
              <w:bottom w:w="100" w:type="dxa"/>
              <w:right w:w="100" w:type="dxa"/>
            </w:tcMar>
          </w:tcPr>
          <w:p w14:paraId="31DC1C58"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WEX: NYSE</w:t>
            </w:r>
          </w:p>
        </w:tc>
        <w:tc>
          <w:tcPr>
            <w:tcW w:w="2340" w:type="dxa"/>
            <w:tcMar>
              <w:top w:w="100" w:type="dxa"/>
              <w:left w:w="100" w:type="dxa"/>
              <w:bottom w:w="100" w:type="dxa"/>
              <w:right w:w="100" w:type="dxa"/>
            </w:tcMar>
          </w:tcPr>
          <w:p w14:paraId="64381C41"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 xml:space="preserve">WEX, Inc. </w:t>
            </w:r>
          </w:p>
        </w:tc>
        <w:tc>
          <w:tcPr>
            <w:tcW w:w="2340" w:type="dxa"/>
            <w:tcMar>
              <w:top w:w="100" w:type="dxa"/>
              <w:left w:w="100" w:type="dxa"/>
              <w:bottom w:w="100" w:type="dxa"/>
              <w:right w:w="100" w:type="dxa"/>
            </w:tcMar>
          </w:tcPr>
          <w:p w14:paraId="57A0E3F8"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presence</w:t>
            </w:r>
          </w:p>
        </w:tc>
        <w:tc>
          <w:tcPr>
            <w:tcW w:w="2340" w:type="dxa"/>
            <w:tcMar>
              <w:top w:w="100" w:type="dxa"/>
              <w:left w:w="100" w:type="dxa"/>
              <w:bottom w:w="100" w:type="dxa"/>
              <w:right w:w="100" w:type="dxa"/>
            </w:tcMar>
          </w:tcPr>
          <w:p w14:paraId="525692AF" w14:textId="77777777" w:rsidR="00250330" w:rsidRDefault="00000000">
            <w:pPr>
              <w:widowControl w:val="0"/>
              <w:spacing w:line="240" w:lineRule="auto"/>
              <w:jc w:val="center"/>
              <w:rPr>
                <w:rFonts w:ascii="Times New Roman" w:eastAsia="Times New Roman" w:hAnsi="Times New Roman" w:cs="Times New Roman"/>
              </w:rPr>
            </w:pPr>
            <w:r>
              <w:rPr>
                <w:rFonts w:ascii="Times New Roman" w:eastAsia="Times New Roman" w:hAnsi="Times New Roman" w:cs="Times New Roman"/>
              </w:rPr>
              <w:t>Information Technologies</w:t>
            </w:r>
          </w:p>
        </w:tc>
      </w:tr>
    </w:tbl>
    <w:p w14:paraId="44FFA4DE" w14:textId="77777777" w:rsidR="00250330" w:rsidRDefault="00250330">
      <w:pPr>
        <w:rPr>
          <w:rFonts w:ascii="Times New Roman" w:eastAsia="Times New Roman" w:hAnsi="Times New Roman" w:cs="Times New Roman"/>
          <w:sz w:val="24"/>
          <w:szCs w:val="24"/>
        </w:rPr>
      </w:pPr>
    </w:p>
    <w:p w14:paraId="1E64AA8C" w14:textId="77777777" w:rsidR="00250330" w:rsidRDefault="00250330">
      <w:pPr>
        <w:rPr>
          <w:rFonts w:ascii="Times New Roman" w:eastAsia="Times New Roman" w:hAnsi="Times New Roman" w:cs="Times New Roman"/>
          <w:sz w:val="28"/>
          <w:szCs w:val="28"/>
        </w:rPr>
      </w:pPr>
    </w:p>
    <w:p w14:paraId="16EF84CB" w14:textId="77777777" w:rsidR="00250330" w:rsidRDefault="00250330">
      <w:pPr>
        <w:rPr>
          <w:rFonts w:ascii="Times New Roman" w:eastAsia="Times New Roman" w:hAnsi="Times New Roman" w:cs="Times New Roman"/>
          <w:sz w:val="24"/>
          <w:szCs w:val="24"/>
        </w:rPr>
      </w:pPr>
    </w:p>
    <w:sectPr w:rsidR="00250330">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EFA9F3D0-F887-2745-8E7B-14775A6DE00B}"/>
    <w:embedItalic r:id="rId2" w:fontKey="{8AF4318F-FA77-FA4F-8EAB-B6C2DE581CC2}"/>
  </w:font>
  <w:font w:name="Times New Roman">
    <w:panose1 w:val="02020603050405020304"/>
    <w:charset w:val="00"/>
    <w:family w:val="roman"/>
    <w:pitch w:val="variable"/>
    <w:sig w:usb0="E0002EFF" w:usb1="C000785B" w:usb2="00000009" w:usb3="00000000" w:csb0="000001FF" w:csb1="00000000"/>
    <w:embedRegular r:id="rId3" w:fontKey="{D0FC0539-0E15-CC42-9D41-F3524F7E66FB}"/>
    <w:embedBold r:id="rId4" w:fontKey="{51F0B5E8-D1D7-0C46-9167-E104E21376BF}"/>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embedRegular r:id="rId5" w:fontKey="{41CCC448-5F91-5448-870A-B0C508984690}"/>
  </w:font>
  <w:font w:name="Cambria">
    <w:panose1 w:val="02040503050406030204"/>
    <w:charset w:val="00"/>
    <w:family w:val="roman"/>
    <w:pitch w:val="variable"/>
    <w:sig w:usb0="E00006FF" w:usb1="420024FF" w:usb2="02000000" w:usb3="00000000" w:csb0="0000019F" w:csb1="00000000"/>
    <w:embedRegular r:id="rId6" w:fontKey="{04F096BA-FC0D-3E45-98F9-3C3CD4E28B7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330"/>
    <w:rsid w:val="002403D9"/>
    <w:rsid w:val="00250330"/>
    <w:rsid w:val="006934C5"/>
    <w:rsid w:val="00940BC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07474AA6"/>
  <w15:docId w15:val="{BEE8DCE0-D22A-4A43-ABA0-A1C0F131F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CellMar>
        <w:top w:w="0" w:type="dxa"/>
        <w:left w:w="115" w:type="dxa"/>
        <w:bottom w:w="0" w:type="dxa"/>
        <w:right w:w="115" w:type="dxa"/>
      </w:tblCellMar>
    </w:tblPr>
  </w:style>
  <w:style w:type="paragraph" w:styleId="Revision">
    <w:name w:val="Revision"/>
    <w:hidden/>
    <w:uiPriority w:val="99"/>
    <w:semiHidden/>
    <w:rsid w:val="005B2A1A"/>
    <w:pPr>
      <w:spacing w:line="240" w:lineRule="auto"/>
    </w:p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https://seekingalpha.com/news/4521448-charter-communications-most-shorted-sp-500-communications-stocks-in-october-alphabet-least-shorted"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BGVH6/f8ekZC/spzBbroE2hMwA==">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1272</Words>
  <Characters>7253</Characters>
  <Application>Microsoft Office Word</Application>
  <DocSecurity>0</DocSecurity>
  <Lines>60</Lines>
  <Paragraphs>17</Paragraphs>
  <ScaleCrop>false</ScaleCrop>
  <Company/>
  <LinksUpToDate>false</LinksUpToDate>
  <CharactersWithSpaces>8508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 Liu</cp:lastModifiedBy>
  <cp:revision>3</cp:revision>
  <dcterms:created xsi:type="dcterms:W3CDTF">2025-10-26T02:03:00Z</dcterms:created>
  <dcterms:modified xsi:type="dcterms:W3CDTF">2025-11-17T00:28:00Z</dcterms:modified>
</cp:coreProperties>
</file>