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CF9842" w14:textId="77777777" w:rsidR="009A5E0D" w:rsidRDefault="009A5E0D">
      <w:pPr>
        <w:spacing w:line="360" w:lineRule="auto"/>
        <w:rPr>
          <w:rFonts w:ascii="Times New Roman" w:eastAsia="Times New Roman" w:hAnsi="Times New Roman" w:cs="Times New Roman"/>
          <w:sz w:val="24"/>
          <w:szCs w:val="24"/>
        </w:rPr>
      </w:pPr>
    </w:p>
    <w:p w14:paraId="5A111AFB" w14:textId="77777777" w:rsidR="009A5E0D" w:rsidRPr="003B0CF4" w:rsidRDefault="00000000" w:rsidP="003B0CF4">
      <w:pPr>
        <w:spacing w:line="480" w:lineRule="auto"/>
        <w:jc w:val="center"/>
        <w:rPr>
          <w:rFonts w:ascii="Times New Roman" w:eastAsia="Times New Roman" w:hAnsi="Times New Roman" w:cs="Times New Roman"/>
          <w:b/>
          <w:sz w:val="24"/>
          <w:szCs w:val="24"/>
        </w:rPr>
      </w:pPr>
      <w:r w:rsidRPr="003B0CF4">
        <w:rPr>
          <w:rFonts w:ascii="Times New Roman" w:eastAsia="Times New Roman" w:hAnsi="Times New Roman" w:cs="Times New Roman"/>
          <w:b/>
          <w:sz w:val="24"/>
          <w:szCs w:val="24"/>
        </w:rPr>
        <w:t>Husson Stock Index</w:t>
      </w:r>
    </w:p>
    <w:p w14:paraId="5D44E487" w14:textId="77777777" w:rsidR="009A5E0D" w:rsidRPr="003B0CF4" w:rsidRDefault="009A5E0D" w:rsidP="003B0CF4">
      <w:pPr>
        <w:spacing w:line="480" w:lineRule="auto"/>
        <w:jc w:val="center"/>
        <w:rPr>
          <w:rFonts w:ascii="Times New Roman" w:eastAsia="Times New Roman" w:hAnsi="Times New Roman" w:cs="Times New Roman"/>
          <w:b/>
          <w:sz w:val="24"/>
          <w:szCs w:val="24"/>
        </w:rPr>
      </w:pPr>
    </w:p>
    <w:p w14:paraId="36FFE49D" w14:textId="13807FF8" w:rsidR="009A5E0D" w:rsidRPr="003B0CF4" w:rsidRDefault="00000000" w:rsidP="003B0CF4">
      <w:pPr>
        <w:spacing w:line="480" w:lineRule="auto"/>
        <w:jc w:val="center"/>
        <w:rPr>
          <w:rFonts w:ascii="Times New Roman" w:eastAsia="Times New Roman" w:hAnsi="Times New Roman" w:cs="Times New Roman"/>
          <w:b/>
          <w:sz w:val="24"/>
          <w:szCs w:val="24"/>
        </w:rPr>
      </w:pPr>
      <w:r w:rsidRPr="003B0CF4">
        <w:rPr>
          <w:rFonts w:ascii="Times New Roman" w:eastAsia="Times New Roman" w:hAnsi="Times New Roman" w:cs="Times New Roman"/>
          <w:b/>
          <w:sz w:val="24"/>
          <w:szCs w:val="24"/>
        </w:rPr>
        <w:t xml:space="preserve">Week Ended </w:t>
      </w:r>
      <w:r w:rsidR="00156DA0">
        <w:rPr>
          <w:rFonts w:ascii="Times New Roman" w:eastAsia="Times New Roman" w:hAnsi="Times New Roman" w:cs="Times New Roman"/>
          <w:b/>
          <w:sz w:val="24"/>
          <w:szCs w:val="24"/>
        </w:rPr>
        <w:t>June 6th</w:t>
      </w:r>
      <w:r w:rsidRPr="003B0CF4">
        <w:rPr>
          <w:rFonts w:ascii="Times New Roman" w:eastAsia="Times New Roman" w:hAnsi="Times New Roman" w:cs="Times New Roman"/>
          <w:b/>
          <w:sz w:val="24"/>
          <w:szCs w:val="24"/>
        </w:rPr>
        <w:t>, 2025</w:t>
      </w:r>
    </w:p>
    <w:p w14:paraId="11F21F26" w14:textId="77777777" w:rsidR="009A5E0D" w:rsidRDefault="009A5E0D">
      <w:pPr>
        <w:spacing w:line="360" w:lineRule="auto"/>
        <w:rPr>
          <w:rFonts w:ascii="Times New Roman" w:eastAsia="Times New Roman" w:hAnsi="Times New Roman" w:cs="Times New Roman"/>
          <w:sz w:val="24"/>
          <w:szCs w:val="24"/>
        </w:rPr>
      </w:pPr>
    </w:p>
    <w:p w14:paraId="10A1AC8E" w14:textId="68CCDF88" w:rsidR="009A5E0D"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For the week ended </w:t>
      </w:r>
      <w:r w:rsidR="00156DA0">
        <w:rPr>
          <w:rFonts w:ascii="Times New Roman" w:eastAsia="Times New Roman" w:hAnsi="Times New Roman" w:cs="Times New Roman"/>
          <w:sz w:val="24"/>
          <w:szCs w:val="24"/>
        </w:rPr>
        <w:t>June 6</w:t>
      </w:r>
      <w:r w:rsidR="00156DA0" w:rsidRPr="003B0CF4">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2025, the Husson Stock Index (HSI) closed at 3,912.52. This is an increase from the previous week of .52%. This is also a 5.24% increase from the end of the previous year. The Dow Jones Industrial Average closed at 42,762.87. This is an increase of 1.17% from the end of the previous week and an increase of .51% from the end of the previous year. The S&amp;P 500 ended the week at 6000.36, increasing 1.5%</w:t>
      </w:r>
      <w:r w:rsidR="00156DA0">
        <w:rPr>
          <w:rFonts w:ascii="Times New Roman" w:eastAsia="Times New Roman" w:hAnsi="Times New Roman" w:cs="Times New Roman"/>
          <w:sz w:val="24"/>
          <w:szCs w:val="24"/>
        </w:rPr>
        <w:t xml:space="preserve"> for the week and 2.02% year to date.</w:t>
      </w:r>
      <w:r>
        <w:rPr>
          <w:rFonts w:ascii="Times New Roman" w:eastAsia="Times New Roman" w:hAnsi="Times New Roman" w:cs="Times New Roman"/>
          <w:sz w:val="24"/>
          <w:szCs w:val="24"/>
        </w:rPr>
        <w:t xml:space="preserve"> </w:t>
      </w:r>
    </w:p>
    <w:p w14:paraId="25657C75" w14:textId="77777777" w:rsidR="009A5E0D" w:rsidRDefault="009A5E0D">
      <w:pPr>
        <w:spacing w:line="360" w:lineRule="auto"/>
        <w:rPr>
          <w:rFonts w:ascii="Times New Roman" w:eastAsia="Times New Roman" w:hAnsi="Times New Roman" w:cs="Times New Roman"/>
          <w:sz w:val="24"/>
          <w:szCs w:val="24"/>
        </w:rPr>
      </w:pPr>
    </w:p>
    <w:p w14:paraId="4164692C" w14:textId="77777777" w:rsidR="009A5E0D" w:rsidRPr="003B0CF4" w:rsidRDefault="00000000" w:rsidP="003B0CF4">
      <w:pPr>
        <w:spacing w:line="480" w:lineRule="auto"/>
        <w:jc w:val="center"/>
        <w:rPr>
          <w:rFonts w:ascii="Times New Roman" w:eastAsia="Times New Roman" w:hAnsi="Times New Roman" w:cs="Times New Roman"/>
          <w:b/>
          <w:sz w:val="24"/>
          <w:szCs w:val="24"/>
        </w:rPr>
      </w:pPr>
      <w:r w:rsidRPr="003B0CF4">
        <w:rPr>
          <w:rFonts w:ascii="Times New Roman" w:eastAsia="Times New Roman" w:hAnsi="Times New Roman" w:cs="Times New Roman"/>
          <w:b/>
          <w:sz w:val="24"/>
          <w:szCs w:val="24"/>
        </w:rPr>
        <w:t>Summary</w:t>
      </w:r>
    </w:p>
    <w:p w14:paraId="4423A090" w14:textId="21AF3B7D" w:rsidR="009A5E0D"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The top-performing stock in the HSI this week was PENN Entertainment, Inc, which had an increase in share price of 5.12% over the previous week. </w:t>
      </w:r>
      <w:r w:rsidR="00156DA0">
        <w:rPr>
          <w:rFonts w:ascii="Times New Roman" w:eastAsia="Times New Roman" w:hAnsi="Times New Roman" w:cs="Times New Roman"/>
          <w:sz w:val="24"/>
          <w:szCs w:val="24"/>
        </w:rPr>
        <w:t xml:space="preserve">This increase was </w:t>
      </w:r>
      <w:r>
        <w:rPr>
          <w:rFonts w:ascii="Times New Roman" w:eastAsia="Times New Roman" w:hAnsi="Times New Roman" w:cs="Times New Roman"/>
          <w:sz w:val="24"/>
          <w:szCs w:val="24"/>
        </w:rPr>
        <w:t xml:space="preserve">driven by a combination of strategic investments, analyst upgrades, and its expanding digital presence. One significant factor contributing to this growth was the company's $200 million investment in transitioning its Ameristar Casino Hotel Council Bluffs riverboat into a land-based facility, now called Hollywood Casino Council Bluffs. This move is expected to enhance operational efficiency and strengthen PENN's competitive positioning in the Omaha market, ultimately driving long-term revenue growth. Additionally, JPMorgan upgraded PENN’s stock rating from "neutral" to "overweight," citing its strong investment strategy and anticipated double-digit cash-on-cash returns starting in the second half of 2025 and into 2026. The price target </w:t>
      </w:r>
      <w:proofErr w:type="gramStart"/>
      <w:r>
        <w:rPr>
          <w:rFonts w:ascii="Times New Roman" w:eastAsia="Times New Roman" w:hAnsi="Times New Roman" w:cs="Times New Roman"/>
          <w:sz w:val="24"/>
          <w:szCs w:val="24"/>
        </w:rPr>
        <w:t>increase</w:t>
      </w:r>
      <w:proofErr w:type="gramEnd"/>
      <w:r>
        <w:rPr>
          <w:rFonts w:ascii="Times New Roman" w:eastAsia="Times New Roman" w:hAnsi="Times New Roman" w:cs="Times New Roman"/>
          <w:sz w:val="24"/>
          <w:szCs w:val="24"/>
        </w:rPr>
        <w:t xml:space="preserve"> from $19 to $27 has bolstered investor confidence in the company's trajectory. Another crucial driver of PENN’s success is its omni-channel strategy, which integrates both retail and online gaming to engage a broader audience, particularly younger demographics. By expanding its digital presence, PENN has positioned itself for sustained growth in the evolving gaming industry. These three factors—strategic land-based expansion, a positive stock upgrade, and a strengthened digital footprint—have contributed to the company's share price increase and overall market optimism.</w:t>
      </w:r>
    </w:p>
    <w:p w14:paraId="25D39D84" w14:textId="7631BDB6" w:rsidR="009A5E0D" w:rsidRDefault="00000000">
      <w:pPr>
        <w:spacing w:line="36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The second top-performing stock in the HSI was WEX </w:t>
      </w:r>
      <w:r w:rsidR="00156DA0">
        <w:rPr>
          <w:rFonts w:ascii="Times New Roman" w:eastAsia="Times New Roman" w:hAnsi="Times New Roman" w:cs="Times New Roman"/>
          <w:sz w:val="24"/>
          <w:szCs w:val="24"/>
        </w:rPr>
        <w:t>I</w:t>
      </w:r>
      <w:r>
        <w:rPr>
          <w:rFonts w:ascii="Times New Roman" w:eastAsia="Times New Roman" w:hAnsi="Times New Roman" w:cs="Times New Roman"/>
          <w:sz w:val="24"/>
          <w:szCs w:val="24"/>
        </w:rPr>
        <w:t>nc</w:t>
      </w:r>
      <w:r w:rsidR="00156DA0">
        <w:rPr>
          <w:rFonts w:ascii="Times New Roman" w:eastAsia="Times New Roman" w:hAnsi="Times New Roman" w:cs="Times New Roman"/>
          <w:sz w:val="24"/>
          <w:szCs w:val="24"/>
        </w:rPr>
        <w:t>.</w:t>
      </w:r>
      <w:r>
        <w:rPr>
          <w:rFonts w:ascii="Times New Roman" w:eastAsia="Times New Roman" w:hAnsi="Times New Roman" w:cs="Times New Roman"/>
          <w:sz w:val="24"/>
          <w:szCs w:val="24"/>
        </w:rPr>
        <w:t>, which had an increase of 4.25% over the last week</w:t>
      </w:r>
      <w:r w:rsidR="00156DA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largely driven by strong analyst ratings and positive investor sentiment. The company has been expanding its corporate payments and fleet solutions, which continue to show resilience in the financial transaction services sector. Analysts have maintained a "Buy" rating, with price targets ranging from $135 to $255, indicating confidence in WEX’s ability to sustain growth. Additionally, WEX’s participation in major fintech conferences has reinforced its position as a leader in embedded payments and spend management solutions. Investors are optimistic about its revenue forecast, which projects a 5.13% increase next year. </w:t>
      </w:r>
    </w:p>
    <w:p w14:paraId="595DC014" w14:textId="77777777" w:rsidR="009A5E0D" w:rsidRDefault="009A5E0D">
      <w:pPr>
        <w:spacing w:line="360" w:lineRule="auto"/>
        <w:rPr>
          <w:rFonts w:ascii="Times New Roman" w:eastAsia="Times New Roman" w:hAnsi="Times New Roman" w:cs="Times New Roman"/>
          <w:sz w:val="24"/>
          <w:szCs w:val="24"/>
        </w:rPr>
      </w:pPr>
    </w:p>
    <w:p w14:paraId="6F69842E" w14:textId="7A985B43" w:rsidR="009A5E0D"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The worst-performing stock in the HSI was the Colgate-Palmolive Company, which had a decrease in share price of 2.91%. </w:t>
      </w:r>
      <w:r w:rsidR="00156DA0">
        <w:rPr>
          <w:rFonts w:ascii="Times New Roman" w:eastAsia="Times New Roman" w:hAnsi="Times New Roman" w:cs="Times New Roman"/>
          <w:sz w:val="24"/>
          <w:szCs w:val="24"/>
        </w:rPr>
        <w:t>This decrease was</w:t>
      </w:r>
      <w:r>
        <w:rPr>
          <w:rFonts w:ascii="Times New Roman" w:eastAsia="Times New Roman" w:hAnsi="Times New Roman" w:cs="Times New Roman"/>
          <w:sz w:val="24"/>
          <w:szCs w:val="24"/>
        </w:rPr>
        <w:t xml:space="preserve"> primarily due to currency headwinds and weaker-than-expected revenue growth. Despite this decline, the company maintained strong market share in oral care products, with 41.4% of the global toothpaste market and 32.2% of the manual toothbrush market. Additionally, Colgate-Palmolive’s gross margin expanded by 70 basis points to 60.3%, demonstrating operational efficiency. While revenue growth slowed due to the impact of foreign exchange rates, the company’s organic sales increased by 4.3%, reflecting steady demand. Investors remain optimistic about Colgate-Palmolive’s ability to navigate economic challenges, as its base business earnings per share rose from $0.87 to $0.91, exceeding expectations. These factors indicate that while short-term stock performance was affected, the company continues to perform well operationally and maintain its leadership in the consumer goods sector.</w:t>
      </w:r>
    </w:p>
    <w:p w14:paraId="53459C12" w14:textId="77777777" w:rsidR="003B0CF4" w:rsidRDefault="003B0CF4">
      <w:pPr>
        <w:spacing w:line="360" w:lineRule="auto"/>
        <w:rPr>
          <w:rFonts w:ascii="Times New Roman" w:eastAsia="Times New Roman" w:hAnsi="Times New Roman" w:cs="Times New Roman"/>
          <w:sz w:val="24"/>
          <w:szCs w:val="24"/>
        </w:rPr>
      </w:pPr>
    </w:p>
    <w:p w14:paraId="3E00C6EE" w14:textId="6AAEAEDF" w:rsidR="009A5E0D" w:rsidRDefault="00000000">
      <w:pPr>
        <w:spacing w:line="36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w:t>
      </w:r>
      <w:r w:rsidR="00156DA0">
        <w:rPr>
          <w:rFonts w:ascii="Times New Roman" w:eastAsia="Times New Roman" w:hAnsi="Times New Roman" w:cs="Times New Roman"/>
          <w:sz w:val="24"/>
          <w:szCs w:val="24"/>
        </w:rPr>
        <w:t>second worst-</w:t>
      </w:r>
      <w:r>
        <w:rPr>
          <w:rFonts w:ascii="Times New Roman" w:eastAsia="Times New Roman" w:hAnsi="Times New Roman" w:cs="Times New Roman"/>
          <w:sz w:val="24"/>
          <w:szCs w:val="24"/>
        </w:rPr>
        <w:t xml:space="preserve">performing stock in the HSI was McDonald’s Corporation, which was down 2.07%, </w:t>
      </w:r>
      <w:r w:rsidR="00156DA0">
        <w:rPr>
          <w:rFonts w:ascii="Times New Roman" w:eastAsia="Times New Roman" w:hAnsi="Times New Roman" w:cs="Times New Roman"/>
          <w:sz w:val="24"/>
          <w:szCs w:val="24"/>
        </w:rPr>
        <w:t>l</w:t>
      </w:r>
      <w:r>
        <w:rPr>
          <w:rFonts w:ascii="Times New Roman" w:eastAsia="Times New Roman" w:hAnsi="Times New Roman" w:cs="Times New Roman"/>
          <w:sz w:val="24"/>
          <w:szCs w:val="24"/>
        </w:rPr>
        <w:t xml:space="preserve">argely due to concerns over consumer affordability and pricing strategies. During its latest earnings call, CEO Chris </w:t>
      </w:r>
      <w:proofErr w:type="spellStart"/>
      <w:r>
        <w:rPr>
          <w:rFonts w:ascii="Times New Roman" w:eastAsia="Times New Roman" w:hAnsi="Times New Roman" w:cs="Times New Roman"/>
          <w:sz w:val="24"/>
          <w:szCs w:val="24"/>
        </w:rPr>
        <w:t>Kempczinski</w:t>
      </w:r>
      <w:proofErr w:type="spellEnd"/>
      <w:r>
        <w:rPr>
          <w:rFonts w:ascii="Times New Roman" w:eastAsia="Times New Roman" w:hAnsi="Times New Roman" w:cs="Times New Roman"/>
          <w:sz w:val="24"/>
          <w:szCs w:val="24"/>
        </w:rPr>
        <w:t xml:space="preserve"> addressed growing complaints about higher menu prices, which have led to a drop in transactions among lower-income customers. While McDonald’s reported 4.3% growth in U.S. same-store sales, global performance was impacted by economic uncertainty and geopolitical tensions. Additionally, analysts have pointed to competition from fast-casual dining options and shifting consumer preferences as factors affecting McDonald’s stock performance. Despite the short-term decline, the company remains confident in its resilience and affordability initiatives, including its $1, $2, $3 menu platform, </w:t>
      </w:r>
      <w:r>
        <w:rPr>
          <w:rFonts w:ascii="Times New Roman" w:eastAsia="Times New Roman" w:hAnsi="Times New Roman" w:cs="Times New Roman"/>
          <w:sz w:val="24"/>
          <w:szCs w:val="24"/>
        </w:rPr>
        <w:lastRenderedPageBreak/>
        <w:t>which aims to re-engage budget-conscious consumers. Investors are watching closely to see how McDonald’s adapts its pricing strategy to maintain customer loyalty and drive future growth.</w:t>
      </w:r>
    </w:p>
    <w:p w14:paraId="3EDC79CB" w14:textId="77777777" w:rsidR="009A5E0D" w:rsidRDefault="009A5E0D">
      <w:pPr>
        <w:spacing w:line="360" w:lineRule="auto"/>
        <w:rPr>
          <w:rFonts w:ascii="Times New Roman" w:eastAsia="Times New Roman" w:hAnsi="Times New Roman" w:cs="Times New Roman"/>
          <w:sz w:val="24"/>
          <w:szCs w:val="24"/>
        </w:rPr>
      </w:pPr>
    </w:p>
    <w:p w14:paraId="2B3938B7" w14:textId="77777777" w:rsidR="009A5E0D" w:rsidRDefault="009A5E0D">
      <w:pPr>
        <w:spacing w:line="360" w:lineRule="auto"/>
        <w:rPr>
          <w:rFonts w:ascii="Times New Roman" w:eastAsia="Times New Roman" w:hAnsi="Times New Roman" w:cs="Times New Roman"/>
          <w:sz w:val="24"/>
          <w:szCs w:val="24"/>
        </w:rPr>
      </w:pPr>
    </w:p>
    <w:p w14:paraId="4D418166" w14:textId="77777777" w:rsidR="009A5E0D" w:rsidRPr="003B0CF4" w:rsidRDefault="00000000" w:rsidP="003B0CF4">
      <w:pPr>
        <w:spacing w:line="480" w:lineRule="auto"/>
        <w:jc w:val="center"/>
        <w:rPr>
          <w:rFonts w:ascii="Times New Roman" w:eastAsia="Times New Roman" w:hAnsi="Times New Roman" w:cs="Times New Roman"/>
          <w:b/>
          <w:sz w:val="24"/>
          <w:szCs w:val="24"/>
        </w:rPr>
      </w:pPr>
      <w:r w:rsidRPr="003B0CF4">
        <w:rPr>
          <w:rFonts w:ascii="Times New Roman" w:eastAsia="Times New Roman" w:hAnsi="Times New Roman" w:cs="Times New Roman"/>
          <w:b/>
          <w:sz w:val="24"/>
          <w:szCs w:val="24"/>
        </w:rPr>
        <w:t>Overview</w:t>
      </w:r>
    </w:p>
    <w:p w14:paraId="650DF361" w14:textId="79DE8EA9" w:rsidR="009A5E0D" w:rsidRDefault="003B0CF4">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000000">
        <w:rPr>
          <w:rFonts w:ascii="Times New Roman" w:eastAsia="Times New Roman" w:hAnsi="Times New Roman" w:cs="Times New Roman"/>
          <w:sz w:val="24"/>
          <w:szCs w:val="24"/>
        </w:rPr>
        <w:t>The HSI was developed by Marie Kenney, while a student at Husson University, in</w:t>
      </w:r>
    </w:p>
    <w:p w14:paraId="633EBB75" w14:textId="77777777" w:rsidR="009A5E0D"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consultation with Associate Professor J. Douglas Wellington. The index is currently being</w:t>
      </w:r>
    </w:p>
    <w:p w14:paraId="78AA74EE" w14:textId="77777777" w:rsidR="009A5E0D"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tracked and analyzed by Husson student Donovan Landry under the supervision of the Associate Professor of Finance Dr. Jia Liu. The HSI currently tracks and analyzes the stocks of 25 companies that are considered to affect the Maine economy. These companies are either based in Maine or have an influence on the Maine economy through employment or consumer spending. This price-weighted index offers a numerical breakdown of Maine’s economy. The analysis investigates the events of the week and finds the likely reasons the index went up or down. This index and analysis help provide a better understanding of Maine’s economy as well as explain significant changes in stock prices of the companies that comprise the HSI.</w:t>
      </w:r>
    </w:p>
    <w:p w14:paraId="3E54D136" w14:textId="77777777" w:rsidR="009A5E0D" w:rsidRDefault="009A5E0D">
      <w:pPr>
        <w:rPr>
          <w:rFonts w:ascii="Times New Roman" w:eastAsia="Times New Roman" w:hAnsi="Times New Roman" w:cs="Times New Roman"/>
          <w:sz w:val="24"/>
          <w:szCs w:val="24"/>
        </w:rPr>
      </w:pPr>
    </w:p>
    <w:p w14:paraId="68907095" w14:textId="77777777" w:rsidR="003B0CF4" w:rsidRDefault="003B0CF4">
      <w:pPr>
        <w:rPr>
          <w:rFonts w:ascii="Times New Roman" w:eastAsia="Times New Roman" w:hAnsi="Times New Roman" w:cs="Times New Roman"/>
          <w:sz w:val="24"/>
          <w:szCs w:val="24"/>
        </w:rPr>
      </w:pPr>
    </w:p>
    <w:p w14:paraId="7C0FC124" w14:textId="77777777" w:rsidR="003B0CF4" w:rsidRDefault="003B0CF4">
      <w:pPr>
        <w:rPr>
          <w:rFonts w:ascii="Times New Roman" w:eastAsia="Times New Roman" w:hAnsi="Times New Roman" w:cs="Times New Roman"/>
          <w:sz w:val="24"/>
          <w:szCs w:val="24"/>
        </w:rPr>
      </w:pPr>
    </w:p>
    <w:p w14:paraId="34831733" w14:textId="77777777" w:rsidR="003B0CF4" w:rsidRDefault="003B0CF4">
      <w:pPr>
        <w:rPr>
          <w:rFonts w:ascii="Times New Roman" w:eastAsia="Times New Roman" w:hAnsi="Times New Roman" w:cs="Times New Roman"/>
          <w:sz w:val="24"/>
          <w:szCs w:val="24"/>
        </w:rPr>
      </w:pPr>
    </w:p>
    <w:p w14:paraId="23D04EDF" w14:textId="77777777" w:rsidR="003B0CF4" w:rsidRDefault="003B0CF4">
      <w:pPr>
        <w:rPr>
          <w:rFonts w:ascii="Times New Roman" w:eastAsia="Times New Roman" w:hAnsi="Times New Roman" w:cs="Times New Roman"/>
          <w:sz w:val="24"/>
          <w:szCs w:val="24"/>
        </w:rPr>
      </w:pPr>
    </w:p>
    <w:p w14:paraId="56EADD1B" w14:textId="77777777" w:rsidR="009A5E0D" w:rsidRPr="003B0CF4" w:rsidRDefault="00000000" w:rsidP="003B0CF4">
      <w:pPr>
        <w:spacing w:line="480" w:lineRule="auto"/>
        <w:jc w:val="center"/>
        <w:rPr>
          <w:rFonts w:ascii="Times New Roman" w:eastAsia="Times New Roman" w:hAnsi="Times New Roman" w:cs="Times New Roman"/>
          <w:bCs/>
          <w:i/>
          <w:iCs/>
          <w:sz w:val="24"/>
          <w:szCs w:val="24"/>
        </w:rPr>
      </w:pPr>
      <w:r w:rsidRPr="003B0CF4">
        <w:rPr>
          <w:rFonts w:ascii="Times New Roman" w:eastAsia="Times New Roman" w:hAnsi="Times New Roman" w:cs="Times New Roman"/>
          <w:bCs/>
          <w:i/>
          <w:iCs/>
          <w:sz w:val="24"/>
          <w:szCs w:val="24"/>
        </w:rPr>
        <w:t>References:</w:t>
      </w:r>
      <w:r w:rsidRPr="003B0CF4">
        <w:rPr>
          <w:rFonts w:ascii="Times New Roman" w:eastAsia="Times New Roman" w:hAnsi="Times New Roman" w:cs="Times New Roman"/>
          <w:bCs/>
          <w:i/>
          <w:iCs/>
          <w:sz w:val="24"/>
          <w:szCs w:val="24"/>
        </w:rPr>
        <w:tab/>
      </w:r>
    </w:p>
    <w:p w14:paraId="0B314282" w14:textId="77777777" w:rsidR="009A5E0D" w:rsidRPr="003B0CF4" w:rsidRDefault="00000000" w:rsidP="003B0CF4">
      <w:pPr>
        <w:spacing w:before="240" w:after="240"/>
        <w:rPr>
          <w:rFonts w:ascii="Times New Roman" w:eastAsia="Times New Roman" w:hAnsi="Times New Roman" w:cs="Times New Roman"/>
        </w:rPr>
      </w:pPr>
      <w:r w:rsidRPr="003B0CF4">
        <w:rPr>
          <w:rFonts w:ascii="Times New Roman" w:eastAsia="Times New Roman" w:hAnsi="Times New Roman" w:cs="Times New Roman"/>
        </w:rPr>
        <w:t xml:space="preserve">PENN Entertainment. (2025, June 2). PENN Entertainment sends letter to shareholders. Business Wire. </w:t>
      </w:r>
    </w:p>
    <w:p w14:paraId="7BD125B4" w14:textId="4A779646" w:rsidR="009A5E0D" w:rsidRPr="003B0CF4" w:rsidRDefault="00000000" w:rsidP="003B0CF4">
      <w:pPr>
        <w:spacing w:before="240" w:after="240"/>
        <w:rPr>
          <w:rFonts w:ascii="Times New Roman" w:eastAsia="Times New Roman" w:hAnsi="Times New Roman" w:cs="Times New Roman"/>
        </w:rPr>
      </w:pPr>
      <w:r w:rsidRPr="003B0CF4">
        <w:rPr>
          <w:rFonts w:ascii="Times New Roman" w:eastAsia="Times New Roman" w:hAnsi="Times New Roman" w:cs="Times New Roman"/>
        </w:rPr>
        <w:t xml:space="preserve">Stock Analysis. (2025, June 2). PENN Entertainment (PENN) stock price &amp; overview. </w:t>
      </w:r>
      <w:hyperlink r:id="rId4">
        <w:r w:rsidRPr="003B0CF4">
          <w:rPr>
            <w:rFonts w:ascii="Times New Roman" w:eastAsia="Times New Roman" w:hAnsi="Times New Roman" w:cs="Times New Roman"/>
          </w:rPr>
          <w:t>https://stockanalysis.com/stocks/penn/</w:t>
        </w:r>
      </w:hyperlink>
    </w:p>
    <w:p w14:paraId="21A0583D" w14:textId="77777777" w:rsidR="009A5E0D" w:rsidRPr="003B0CF4" w:rsidRDefault="00000000" w:rsidP="003B0CF4">
      <w:pPr>
        <w:spacing w:before="240" w:after="240"/>
        <w:rPr>
          <w:rFonts w:ascii="Times New Roman" w:eastAsia="Times New Roman" w:hAnsi="Times New Roman" w:cs="Times New Roman"/>
        </w:rPr>
      </w:pPr>
      <w:r w:rsidRPr="003B0CF4">
        <w:rPr>
          <w:rFonts w:ascii="Times New Roman" w:eastAsia="Times New Roman" w:hAnsi="Times New Roman" w:cs="Times New Roman"/>
        </w:rPr>
        <w:t xml:space="preserve">Wex Inc. (WEX) stock forecast &amp; analyst price targets. </w:t>
      </w:r>
      <w:proofErr w:type="spellStart"/>
      <w:r w:rsidRPr="003B0CF4">
        <w:rPr>
          <w:rFonts w:ascii="Times New Roman" w:eastAsia="Times New Roman" w:hAnsi="Times New Roman" w:cs="Times New Roman"/>
        </w:rPr>
        <w:t>StockAnalysis</w:t>
      </w:r>
      <w:proofErr w:type="spellEnd"/>
      <w:r w:rsidRPr="003B0CF4">
        <w:rPr>
          <w:rFonts w:ascii="Times New Roman" w:eastAsia="Times New Roman" w:hAnsi="Times New Roman" w:cs="Times New Roman"/>
        </w:rPr>
        <w:t xml:space="preserve">. (n.d.-b). https://stockanalysis.com/stocks/wex/forecast/ </w:t>
      </w:r>
    </w:p>
    <w:p w14:paraId="1F65DA94" w14:textId="77777777" w:rsidR="009A5E0D" w:rsidRPr="003B0CF4" w:rsidRDefault="00000000" w:rsidP="003B0CF4">
      <w:pPr>
        <w:spacing w:before="240" w:after="240"/>
        <w:rPr>
          <w:rFonts w:ascii="Times New Roman" w:eastAsia="Times New Roman" w:hAnsi="Times New Roman" w:cs="Times New Roman"/>
        </w:rPr>
      </w:pPr>
      <w:r w:rsidRPr="003B0CF4">
        <w:rPr>
          <w:rFonts w:ascii="Times New Roman" w:eastAsia="Times New Roman" w:hAnsi="Times New Roman" w:cs="Times New Roman"/>
        </w:rPr>
        <w:t xml:space="preserve">Bowman, J. (2025, January 31). Why Colgate-Palmolive Stock Fell Today. The Motley Fool. https://www.fool.com/investing/2025/01/31/why-colgate-palmolive-stock-fell-today/ </w:t>
      </w:r>
    </w:p>
    <w:p w14:paraId="217F1F02" w14:textId="77777777" w:rsidR="009A5E0D" w:rsidRPr="003B0CF4" w:rsidRDefault="00000000" w:rsidP="003B0CF4">
      <w:pPr>
        <w:spacing w:before="240" w:after="240"/>
        <w:rPr>
          <w:rFonts w:ascii="Times New Roman" w:eastAsia="Times New Roman" w:hAnsi="Times New Roman" w:cs="Times New Roman"/>
        </w:rPr>
      </w:pPr>
      <w:r w:rsidRPr="003B0CF4">
        <w:rPr>
          <w:rFonts w:ascii="Times New Roman" w:eastAsia="Times New Roman" w:hAnsi="Times New Roman" w:cs="Times New Roman"/>
        </w:rPr>
        <w:t xml:space="preserve">ABC News Network. (n.d.). ABC News. https://abcnews.go.com/GMA/Food/mcdonalds-stock-price-drops-after-ceo-promises-affordability/story?id=106985523 </w:t>
      </w:r>
    </w:p>
    <w:p w14:paraId="24D54EE5" w14:textId="77777777" w:rsidR="009A5E0D" w:rsidRDefault="009A5E0D">
      <w:pPr>
        <w:rPr>
          <w:rFonts w:ascii="Times New Roman" w:eastAsia="Times New Roman" w:hAnsi="Times New Roman" w:cs="Times New Roman"/>
          <w:b/>
        </w:rPr>
      </w:pPr>
    </w:p>
    <w:p w14:paraId="26405F64" w14:textId="77777777" w:rsidR="009A5E0D" w:rsidRDefault="009A5E0D">
      <w:pPr>
        <w:rPr>
          <w:rFonts w:ascii="Times New Roman" w:eastAsia="Times New Roman" w:hAnsi="Times New Roman" w:cs="Times New Roman"/>
        </w:rPr>
      </w:pPr>
    </w:p>
    <w:p w14:paraId="0E983BA6" w14:textId="77777777" w:rsidR="009A5E0D" w:rsidRDefault="00000000">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Composition of Husson Stock Index (HSI)</w:t>
      </w:r>
    </w:p>
    <w:p w14:paraId="01350B40" w14:textId="77777777" w:rsidR="009A5E0D" w:rsidRDefault="009A5E0D">
      <w:pPr>
        <w:jc w:val="center"/>
        <w:rPr>
          <w:rFonts w:ascii="Times New Roman" w:eastAsia="Times New Roman" w:hAnsi="Times New Roman" w:cs="Times New Roman"/>
        </w:rPr>
      </w:pPr>
    </w:p>
    <w:tbl>
      <w:tblPr>
        <w:tblStyle w:val="a"/>
        <w:tblW w:w="11295" w:type="dxa"/>
        <w:tblInd w:w="-9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670"/>
        <w:gridCol w:w="4080"/>
        <w:gridCol w:w="1785"/>
        <w:gridCol w:w="2760"/>
      </w:tblGrid>
      <w:tr w:rsidR="009A5E0D" w14:paraId="60E9A3C0" w14:textId="77777777">
        <w:tc>
          <w:tcPr>
            <w:tcW w:w="2670" w:type="dxa"/>
            <w:shd w:val="clear" w:color="auto" w:fill="auto"/>
            <w:tcMar>
              <w:top w:w="100" w:type="dxa"/>
              <w:left w:w="100" w:type="dxa"/>
              <w:bottom w:w="100" w:type="dxa"/>
              <w:right w:w="100" w:type="dxa"/>
            </w:tcMar>
          </w:tcPr>
          <w:p w14:paraId="6AFD55B6"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Ticker symbol: Exchange</w:t>
            </w:r>
          </w:p>
        </w:tc>
        <w:tc>
          <w:tcPr>
            <w:tcW w:w="4080" w:type="dxa"/>
            <w:shd w:val="clear" w:color="auto" w:fill="auto"/>
            <w:tcMar>
              <w:top w:w="100" w:type="dxa"/>
              <w:left w:w="100" w:type="dxa"/>
              <w:bottom w:w="100" w:type="dxa"/>
              <w:right w:w="100" w:type="dxa"/>
            </w:tcMar>
          </w:tcPr>
          <w:p w14:paraId="13CE218E"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 xml:space="preserve">Stock </w:t>
            </w:r>
          </w:p>
        </w:tc>
        <w:tc>
          <w:tcPr>
            <w:tcW w:w="1785" w:type="dxa"/>
            <w:shd w:val="clear" w:color="auto" w:fill="auto"/>
            <w:tcMar>
              <w:top w:w="100" w:type="dxa"/>
              <w:left w:w="100" w:type="dxa"/>
              <w:bottom w:w="100" w:type="dxa"/>
              <w:right w:w="100" w:type="dxa"/>
            </w:tcMar>
          </w:tcPr>
          <w:p w14:paraId="65E9FBF5"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Maine Affiliation</w:t>
            </w:r>
          </w:p>
        </w:tc>
        <w:tc>
          <w:tcPr>
            <w:tcW w:w="2760" w:type="dxa"/>
            <w:shd w:val="clear" w:color="auto" w:fill="auto"/>
            <w:tcMar>
              <w:top w:w="100" w:type="dxa"/>
              <w:left w:w="100" w:type="dxa"/>
              <w:bottom w:w="100" w:type="dxa"/>
              <w:right w:w="100" w:type="dxa"/>
            </w:tcMar>
          </w:tcPr>
          <w:p w14:paraId="5C73C8C2"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Sector</w:t>
            </w:r>
          </w:p>
        </w:tc>
      </w:tr>
      <w:tr w:rsidR="009A5E0D" w14:paraId="2F24009D" w14:textId="77777777">
        <w:tc>
          <w:tcPr>
            <w:tcW w:w="2670" w:type="dxa"/>
            <w:shd w:val="clear" w:color="auto" w:fill="auto"/>
            <w:tcMar>
              <w:top w:w="100" w:type="dxa"/>
              <w:left w:w="100" w:type="dxa"/>
              <w:bottom w:w="100" w:type="dxa"/>
              <w:right w:w="100" w:type="dxa"/>
            </w:tcMar>
          </w:tcPr>
          <w:p w14:paraId="7E3BDE74"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BAC: NYSE</w:t>
            </w:r>
          </w:p>
        </w:tc>
        <w:tc>
          <w:tcPr>
            <w:tcW w:w="4080" w:type="dxa"/>
            <w:shd w:val="clear" w:color="auto" w:fill="auto"/>
            <w:tcMar>
              <w:top w:w="100" w:type="dxa"/>
              <w:left w:w="100" w:type="dxa"/>
              <w:bottom w:w="100" w:type="dxa"/>
              <w:right w:w="100" w:type="dxa"/>
            </w:tcMar>
          </w:tcPr>
          <w:p w14:paraId="59D202F2"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 xml:space="preserve">Bank of </w:t>
            </w:r>
            <w:proofErr w:type="spellStart"/>
            <w:r>
              <w:rPr>
                <w:rFonts w:ascii="Times New Roman" w:eastAsia="Times New Roman" w:hAnsi="Times New Roman" w:cs="Times New Roman"/>
              </w:rPr>
              <w:t>american</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corp</w:t>
            </w:r>
            <w:proofErr w:type="spellEnd"/>
          </w:p>
        </w:tc>
        <w:tc>
          <w:tcPr>
            <w:tcW w:w="1785" w:type="dxa"/>
            <w:shd w:val="clear" w:color="auto" w:fill="auto"/>
            <w:tcMar>
              <w:top w:w="100" w:type="dxa"/>
              <w:left w:w="100" w:type="dxa"/>
              <w:bottom w:w="100" w:type="dxa"/>
              <w:right w:w="100" w:type="dxa"/>
            </w:tcMar>
          </w:tcPr>
          <w:p w14:paraId="68C7F306"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59C329B6" w14:textId="77777777" w:rsidR="009A5E0D" w:rsidRDefault="00000000">
            <w:pPr>
              <w:widowControl w:val="0"/>
              <w:spacing w:line="240" w:lineRule="auto"/>
              <w:jc w:val="center"/>
              <w:rPr>
                <w:rFonts w:ascii="Times New Roman" w:eastAsia="Times New Roman" w:hAnsi="Times New Roman" w:cs="Times New Roman"/>
              </w:rPr>
            </w:pPr>
            <w:proofErr w:type="spellStart"/>
            <w:r>
              <w:rPr>
                <w:rFonts w:ascii="Times New Roman" w:eastAsia="Times New Roman" w:hAnsi="Times New Roman" w:cs="Times New Roman"/>
              </w:rPr>
              <w:t>Fincancials</w:t>
            </w:r>
            <w:proofErr w:type="spellEnd"/>
          </w:p>
        </w:tc>
      </w:tr>
      <w:tr w:rsidR="009A5E0D" w14:paraId="21B34F40" w14:textId="77777777">
        <w:tc>
          <w:tcPr>
            <w:tcW w:w="2670" w:type="dxa"/>
            <w:shd w:val="clear" w:color="auto" w:fill="auto"/>
            <w:tcMar>
              <w:top w:w="100" w:type="dxa"/>
              <w:left w:w="100" w:type="dxa"/>
              <w:bottom w:w="100" w:type="dxa"/>
              <w:right w:w="100" w:type="dxa"/>
            </w:tcMar>
          </w:tcPr>
          <w:p w14:paraId="1338442E"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BHB: NYSE</w:t>
            </w:r>
          </w:p>
        </w:tc>
        <w:tc>
          <w:tcPr>
            <w:tcW w:w="4080" w:type="dxa"/>
            <w:shd w:val="clear" w:color="auto" w:fill="auto"/>
            <w:tcMar>
              <w:top w:w="100" w:type="dxa"/>
              <w:left w:w="100" w:type="dxa"/>
              <w:bottom w:w="100" w:type="dxa"/>
              <w:right w:w="100" w:type="dxa"/>
            </w:tcMar>
          </w:tcPr>
          <w:p w14:paraId="709C5493"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Bar Harbor Bank</w:t>
            </w:r>
          </w:p>
        </w:tc>
        <w:tc>
          <w:tcPr>
            <w:tcW w:w="1785" w:type="dxa"/>
            <w:shd w:val="clear" w:color="auto" w:fill="auto"/>
            <w:tcMar>
              <w:top w:w="100" w:type="dxa"/>
              <w:left w:w="100" w:type="dxa"/>
              <w:bottom w:w="100" w:type="dxa"/>
              <w:right w:w="100" w:type="dxa"/>
            </w:tcMar>
          </w:tcPr>
          <w:p w14:paraId="386590A0"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Maine-based</w:t>
            </w:r>
          </w:p>
        </w:tc>
        <w:tc>
          <w:tcPr>
            <w:tcW w:w="2760" w:type="dxa"/>
            <w:shd w:val="clear" w:color="auto" w:fill="auto"/>
            <w:tcMar>
              <w:top w:w="100" w:type="dxa"/>
              <w:left w:w="100" w:type="dxa"/>
              <w:bottom w:w="100" w:type="dxa"/>
              <w:right w:w="100" w:type="dxa"/>
            </w:tcMar>
          </w:tcPr>
          <w:p w14:paraId="2B6A2251" w14:textId="77777777" w:rsidR="009A5E0D" w:rsidRDefault="00000000">
            <w:pPr>
              <w:widowControl w:val="0"/>
              <w:spacing w:line="240" w:lineRule="auto"/>
              <w:jc w:val="center"/>
              <w:rPr>
                <w:rFonts w:ascii="Times New Roman" w:eastAsia="Times New Roman" w:hAnsi="Times New Roman" w:cs="Times New Roman"/>
              </w:rPr>
            </w:pPr>
            <w:proofErr w:type="spellStart"/>
            <w:r>
              <w:rPr>
                <w:rFonts w:ascii="Times New Roman" w:eastAsia="Times New Roman" w:hAnsi="Times New Roman" w:cs="Times New Roman"/>
              </w:rPr>
              <w:t>Fincancials</w:t>
            </w:r>
            <w:proofErr w:type="spellEnd"/>
          </w:p>
        </w:tc>
      </w:tr>
      <w:tr w:rsidR="009A5E0D" w14:paraId="15F3B7F9" w14:textId="77777777">
        <w:tc>
          <w:tcPr>
            <w:tcW w:w="2670" w:type="dxa"/>
            <w:shd w:val="clear" w:color="auto" w:fill="auto"/>
            <w:tcMar>
              <w:top w:w="100" w:type="dxa"/>
              <w:left w:w="100" w:type="dxa"/>
              <w:bottom w:w="100" w:type="dxa"/>
              <w:right w:w="100" w:type="dxa"/>
            </w:tcMar>
          </w:tcPr>
          <w:p w14:paraId="76F40B36"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CAC: NASDAQ</w:t>
            </w:r>
          </w:p>
        </w:tc>
        <w:tc>
          <w:tcPr>
            <w:tcW w:w="4080" w:type="dxa"/>
            <w:shd w:val="clear" w:color="auto" w:fill="auto"/>
            <w:tcMar>
              <w:top w:w="100" w:type="dxa"/>
              <w:left w:w="100" w:type="dxa"/>
              <w:bottom w:w="100" w:type="dxa"/>
              <w:right w:w="100" w:type="dxa"/>
            </w:tcMar>
          </w:tcPr>
          <w:p w14:paraId="0B5F02F8"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Camden National Corporation</w:t>
            </w:r>
          </w:p>
        </w:tc>
        <w:tc>
          <w:tcPr>
            <w:tcW w:w="1785" w:type="dxa"/>
            <w:shd w:val="clear" w:color="auto" w:fill="auto"/>
            <w:tcMar>
              <w:top w:w="100" w:type="dxa"/>
              <w:left w:w="100" w:type="dxa"/>
              <w:bottom w:w="100" w:type="dxa"/>
              <w:right w:w="100" w:type="dxa"/>
            </w:tcMar>
          </w:tcPr>
          <w:p w14:paraId="57018A3B"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Maine-based</w:t>
            </w:r>
          </w:p>
        </w:tc>
        <w:tc>
          <w:tcPr>
            <w:tcW w:w="2760" w:type="dxa"/>
            <w:shd w:val="clear" w:color="auto" w:fill="auto"/>
            <w:tcMar>
              <w:top w:w="100" w:type="dxa"/>
              <w:left w:w="100" w:type="dxa"/>
              <w:bottom w:w="100" w:type="dxa"/>
              <w:right w:w="100" w:type="dxa"/>
            </w:tcMar>
          </w:tcPr>
          <w:p w14:paraId="7120E4BA" w14:textId="77777777" w:rsidR="009A5E0D" w:rsidRDefault="00000000">
            <w:pPr>
              <w:widowControl w:val="0"/>
              <w:spacing w:line="240" w:lineRule="auto"/>
              <w:jc w:val="center"/>
              <w:rPr>
                <w:rFonts w:ascii="Times New Roman" w:eastAsia="Times New Roman" w:hAnsi="Times New Roman" w:cs="Times New Roman"/>
              </w:rPr>
            </w:pPr>
            <w:proofErr w:type="spellStart"/>
            <w:r>
              <w:rPr>
                <w:rFonts w:ascii="Times New Roman" w:eastAsia="Times New Roman" w:hAnsi="Times New Roman" w:cs="Times New Roman"/>
              </w:rPr>
              <w:t>Fincancials</w:t>
            </w:r>
            <w:proofErr w:type="spellEnd"/>
          </w:p>
        </w:tc>
      </w:tr>
      <w:tr w:rsidR="009A5E0D" w14:paraId="7B924570" w14:textId="77777777">
        <w:tc>
          <w:tcPr>
            <w:tcW w:w="2670" w:type="dxa"/>
            <w:shd w:val="clear" w:color="auto" w:fill="auto"/>
            <w:tcMar>
              <w:top w:w="100" w:type="dxa"/>
              <w:left w:w="100" w:type="dxa"/>
              <w:bottom w:w="100" w:type="dxa"/>
              <w:right w:w="100" w:type="dxa"/>
            </w:tcMar>
          </w:tcPr>
          <w:p w14:paraId="41E57D6F"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CHRT: NASDAQ</w:t>
            </w:r>
          </w:p>
        </w:tc>
        <w:tc>
          <w:tcPr>
            <w:tcW w:w="4080" w:type="dxa"/>
            <w:shd w:val="clear" w:color="auto" w:fill="auto"/>
            <w:tcMar>
              <w:top w:w="100" w:type="dxa"/>
              <w:left w:w="100" w:type="dxa"/>
              <w:bottom w:w="100" w:type="dxa"/>
              <w:right w:w="100" w:type="dxa"/>
            </w:tcMar>
          </w:tcPr>
          <w:p w14:paraId="1C09EB16"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 xml:space="preserve">Charter </w:t>
            </w:r>
            <w:proofErr w:type="spellStart"/>
            <w:r>
              <w:rPr>
                <w:rFonts w:ascii="Times New Roman" w:eastAsia="Times New Roman" w:hAnsi="Times New Roman" w:cs="Times New Roman"/>
              </w:rPr>
              <w:t>Comminucaion</w:t>
            </w:r>
            <w:proofErr w:type="spellEnd"/>
            <w:r>
              <w:rPr>
                <w:rFonts w:ascii="Times New Roman" w:eastAsia="Times New Roman" w:hAnsi="Times New Roman" w:cs="Times New Roman"/>
              </w:rPr>
              <w:t>, Inc.</w:t>
            </w:r>
          </w:p>
        </w:tc>
        <w:tc>
          <w:tcPr>
            <w:tcW w:w="1785" w:type="dxa"/>
            <w:shd w:val="clear" w:color="auto" w:fill="auto"/>
            <w:tcMar>
              <w:top w:w="100" w:type="dxa"/>
              <w:left w:w="100" w:type="dxa"/>
              <w:bottom w:w="100" w:type="dxa"/>
              <w:right w:w="100" w:type="dxa"/>
            </w:tcMar>
          </w:tcPr>
          <w:p w14:paraId="438C63B7"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7BDA2A36"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Communication Services</w:t>
            </w:r>
          </w:p>
        </w:tc>
      </w:tr>
      <w:tr w:rsidR="009A5E0D" w14:paraId="39D16570" w14:textId="77777777">
        <w:tc>
          <w:tcPr>
            <w:tcW w:w="2670" w:type="dxa"/>
            <w:shd w:val="clear" w:color="auto" w:fill="auto"/>
            <w:tcMar>
              <w:top w:w="100" w:type="dxa"/>
              <w:left w:w="100" w:type="dxa"/>
              <w:bottom w:w="100" w:type="dxa"/>
              <w:right w:w="100" w:type="dxa"/>
            </w:tcMar>
          </w:tcPr>
          <w:p w14:paraId="357EC237"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CL: NYSE</w:t>
            </w:r>
          </w:p>
        </w:tc>
        <w:tc>
          <w:tcPr>
            <w:tcW w:w="4080" w:type="dxa"/>
            <w:shd w:val="clear" w:color="auto" w:fill="auto"/>
            <w:tcMar>
              <w:top w:w="100" w:type="dxa"/>
              <w:left w:w="100" w:type="dxa"/>
              <w:bottom w:w="100" w:type="dxa"/>
              <w:right w:w="100" w:type="dxa"/>
            </w:tcMar>
          </w:tcPr>
          <w:p w14:paraId="5AED7A71" w14:textId="77777777" w:rsidR="009A5E0D" w:rsidRDefault="00000000">
            <w:pPr>
              <w:widowControl w:val="0"/>
              <w:spacing w:line="240" w:lineRule="auto"/>
              <w:jc w:val="center"/>
              <w:rPr>
                <w:rFonts w:ascii="Times New Roman" w:eastAsia="Times New Roman" w:hAnsi="Times New Roman" w:cs="Times New Roman"/>
              </w:rPr>
            </w:pPr>
            <w:proofErr w:type="spellStart"/>
            <w:r>
              <w:rPr>
                <w:rFonts w:ascii="Times New Roman" w:eastAsia="Times New Roman" w:hAnsi="Times New Roman" w:cs="Times New Roman"/>
              </w:rPr>
              <w:t>Colgate-palmolive</w:t>
            </w:r>
            <w:proofErr w:type="spellEnd"/>
            <w:r>
              <w:rPr>
                <w:rFonts w:ascii="Times New Roman" w:eastAsia="Times New Roman" w:hAnsi="Times New Roman" w:cs="Times New Roman"/>
              </w:rPr>
              <w:t xml:space="preserve"> Company</w:t>
            </w:r>
          </w:p>
        </w:tc>
        <w:tc>
          <w:tcPr>
            <w:tcW w:w="1785" w:type="dxa"/>
            <w:shd w:val="clear" w:color="auto" w:fill="auto"/>
            <w:tcMar>
              <w:top w:w="100" w:type="dxa"/>
              <w:left w:w="100" w:type="dxa"/>
              <w:bottom w:w="100" w:type="dxa"/>
              <w:right w:w="100" w:type="dxa"/>
            </w:tcMar>
          </w:tcPr>
          <w:p w14:paraId="637F1F4F"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Maine-based</w:t>
            </w:r>
          </w:p>
        </w:tc>
        <w:tc>
          <w:tcPr>
            <w:tcW w:w="2760" w:type="dxa"/>
            <w:shd w:val="clear" w:color="auto" w:fill="auto"/>
            <w:tcMar>
              <w:top w:w="100" w:type="dxa"/>
              <w:left w:w="100" w:type="dxa"/>
              <w:bottom w:w="100" w:type="dxa"/>
              <w:right w:w="100" w:type="dxa"/>
            </w:tcMar>
          </w:tcPr>
          <w:p w14:paraId="1EE106DF"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Consumer Staples</w:t>
            </w:r>
          </w:p>
        </w:tc>
      </w:tr>
      <w:tr w:rsidR="009A5E0D" w14:paraId="7F469892" w14:textId="77777777">
        <w:tc>
          <w:tcPr>
            <w:tcW w:w="2670" w:type="dxa"/>
            <w:shd w:val="clear" w:color="auto" w:fill="auto"/>
            <w:tcMar>
              <w:top w:w="100" w:type="dxa"/>
              <w:left w:w="100" w:type="dxa"/>
              <w:bottom w:w="100" w:type="dxa"/>
              <w:right w:w="100" w:type="dxa"/>
            </w:tcMar>
          </w:tcPr>
          <w:p w14:paraId="312D5E05"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DRI: NYSE</w:t>
            </w:r>
          </w:p>
        </w:tc>
        <w:tc>
          <w:tcPr>
            <w:tcW w:w="4080" w:type="dxa"/>
            <w:shd w:val="clear" w:color="auto" w:fill="auto"/>
            <w:tcMar>
              <w:top w:w="100" w:type="dxa"/>
              <w:left w:w="100" w:type="dxa"/>
              <w:bottom w:w="100" w:type="dxa"/>
              <w:right w:w="100" w:type="dxa"/>
            </w:tcMar>
          </w:tcPr>
          <w:p w14:paraId="347CA19C"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Darden Restaurants, Inc.</w:t>
            </w:r>
          </w:p>
        </w:tc>
        <w:tc>
          <w:tcPr>
            <w:tcW w:w="1785" w:type="dxa"/>
            <w:shd w:val="clear" w:color="auto" w:fill="auto"/>
            <w:tcMar>
              <w:top w:w="100" w:type="dxa"/>
              <w:left w:w="100" w:type="dxa"/>
              <w:bottom w:w="100" w:type="dxa"/>
              <w:right w:w="100" w:type="dxa"/>
            </w:tcMar>
          </w:tcPr>
          <w:p w14:paraId="2C50B590"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2F5231A0"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 xml:space="preserve">Consumer </w:t>
            </w:r>
            <w:proofErr w:type="spellStart"/>
            <w:r>
              <w:rPr>
                <w:rFonts w:ascii="Times New Roman" w:eastAsia="Times New Roman" w:hAnsi="Times New Roman" w:cs="Times New Roman"/>
              </w:rPr>
              <w:t>Discretionaries</w:t>
            </w:r>
            <w:proofErr w:type="spellEnd"/>
            <w:r>
              <w:rPr>
                <w:rFonts w:ascii="Times New Roman" w:eastAsia="Times New Roman" w:hAnsi="Times New Roman" w:cs="Times New Roman"/>
              </w:rPr>
              <w:t xml:space="preserve"> </w:t>
            </w:r>
          </w:p>
        </w:tc>
      </w:tr>
      <w:tr w:rsidR="009A5E0D" w14:paraId="02191828" w14:textId="77777777">
        <w:tc>
          <w:tcPr>
            <w:tcW w:w="2670" w:type="dxa"/>
            <w:shd w:val="clear" w:color="auto" w:fill="auto"/>
            <w:tcMar>
              <w:top w:w="100" w:type="dxa"/>
              <w:left w:w="100" w:type="dxa"/>
              <w:bottom w:w="100" w:type="dxa"/>
              <w:right w:w="100" w:type="dxa"/>
            </w:tcMar>
          </w:tcPr>
          <w:p w14:paraId="525803E3"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FNLC: NASDAQ</w:t>
            </w:r>
          </w:p>
        </w:tc>
        <w:tc>
          <w:tcPr>
            <w:tcW w:w="4080" w:type="dxa"/>
            <w:shd w:val="clear" w:color="auto" w:fill="auto"/>
            <w:tcMar>
              <w:top w:w="100" w:type="dxa"/>
              <w:left w:w="100" w:type="dxa"/>
              <w:bottom w:w="100" w:type="dxa"/>
              <w:right w:w="100" w:type="dxa"/>
            </w:tcMar>
          </w:tcPr>
          <w:p w14:paraId="1599F60E"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The First Bancorp, Inc.</w:t>
            </w:r>
          </w:p>
        </w:tc>
        <w:tc>
          <w:tcPr>
            <w:tcW w:w="1785" w:type="dxa"/>
            <w:shd w:val="clear" w:color="auto" w:fill="auto"/>
            <w:tcMar>
              <w:top w:w="100" w:type="dxa"/>
              <w:left w:w="100" w:type="dxa"/>
              <w:bottom w:w="100" w:type="dxa"/>
              <w:right w:w="100" w:type="dxa"/>
            </w:tcMar>
          </w:tcPr>
          <w:p w14:paraId="4E8141B7"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Maine-based</w:t>
            </w:r>
          </w:p>
        </w:tc>
        <w:tc>
          <w:tcPr>
            <w:tcW w:w="2760" w:type="dxa"/>
            <w:shd w:val="clear" w:color="auto" w:fill="auto"/>
            <w:tcMar>
              <w:top w:w="100" w:type="dxa"/>
              <w:left w:w="100" w:type="dxa"/>
              <w:bottom w:w="100" w:type="dxa"/>
              <w:right w:w="100" w:type="dxa"/>
            </w:tcMar>
          </w:tcPr>
          <w:p w14:paraId="4FC2E006" w14:textId="77777777" w:rsidR="009A5E0D" w:rsidRDefault="00000000">
            <w:pPr>
              <w:widowControl w:val="0"/>
              <w:spacing w:line="240" w:lineRule="auto"/>
              <w:jc w:val="center"/>
              <w:rPr>
                <w:rFonts w:ascii="Times New Roman" w:eastAsia="Times New Roman" w:hAnsi="Times New Roman" w:cs="Times New Roman"/>
              </w:rPr>
            </w:pPr>
            <w:proofErr w:type="spellStart"/>
            <w:r>
              <w:rPr>
                <w:rFonts w:ascii="Times New Roman" w:eastAsia="Times New Roman" w:hAnsi="Times New Roman" w:cs="Times New Roman"/>
              </w:rPr>
              <w:t>Fincancials</w:t>
            </w:r>
            <w:proofErr w:type="spellEnd"/>
          </w:p>
        </w:tc>
      </w:tr>
      <w:tr w:rsidR="009A5E0D" w14:paraId="5707D0E4" w14:textId="77777777">
        <w:tc>
          <w:tcPr>
            <w:tcW w:w="2670" w:type="dxa"/>
            <w:shd w:val="clear" w:color="auto" w:fill="auto"/>
            <w:tcMar>
              <w:top w:w="100" w:type="dxa"/>
              <w:left w:w="100" w:type="dxa"/>
              <w:bottom w:w="100" w:type="dxa"/>
              <w:right w:w="100" w:type="dxa"/>
            </w:tcMar>
          </w:tcPr>
          <w:p w14:paraId="17C05F12"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GD: NYSE</w:t>
            </w:r>
          </w:p>
        </w:tc>
        <w:tc>
          <w:tcPr>
            <w:tcW w:w="4080" w:type="dxa"/>
            <w:shd w:val="clear" w:color="auto" w:fill="auto"/>
            <w:tcMar>
              <w:top w:w="100" w:type="dxa"/>
              <w:left w:w="100" w:type="dxa"/>
              <w:bottom w:w="100" w:type="dxa"/>
              <w:right w:w="100" w:type="dxa"/>
            </w:tcMar>
          </w:tcPr>
          <w:p w14:paraId="4A0BF348"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General Dynamics Corporation</w:t>
            </w:r>
          </w:p>
        </w:tc>
        <w:tc>
          <w:tcPr>
            <w:tcW w:w="1785" w:type="dxa"/>
            <w:shd w:val="clear" w:color="auto" w:fill="auto"/>
            <w:tcMar>
              <w:top w:w="100" w:type="dxa"/>
              <w:left w:w="100" w:type="dxa"/>
              <w:bottom w:w="100" w:type="dxa"/>
              <w:right w:w="100" w:type="dxa"/>
            </w:tcMar>
          </w:tcPr>
          <w:p w14:paraId="4780F569"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39539855" w14:textId="77777777" w:rsidR="009A5E0D" w:rsidRDefault="00000000">
            <w:pPr>
              <w:widowControl w:val="0"/>
              <w:spacing w:line="240" w:lineRule="auto"/>
              <w:jc w:val="center"/>
              <w:rPr>
                <w:rFonts w:ascii="Times New Roman" w:eastAsia="Times New Roman" w:hAnsi="Times New Roman" w:cs="Times New Roman"/>
              </w:rPr>
            </w:pPr>
            <w:proofErr w:type="spellStart"/>
            <w:r>
              <w:rPr>
                <w:rFonts w:ascii="Times New Roman" w:eastAsia="Times New Roman" w:hAnsi="Times New Roman" w:cs="Times New Roman"/>
              </w:rPr>
              <w:t>Fincancials</w:t>
            </w:r>
            <w:proofErr w:type="spellEnd"/>
          </w:p>
        </w:tc>
      </w:tr>
      <w:tr w:rsidR="009A5E0D" w14:paraId="180B09A3" w14:textId="77777777">
        <w:tc>
          <w:tcPr>
            <w:tcW w:w="2670" w:type="dxa"/>
            <w:shd w:val="clear" w:color="auto" w:fill="auto"/>
            <w:tcMar>
              <w:top w:w="100" w:type="dxa"/>
              <w:left w:w="100" w:type="dxa"/>
              <w:bottom w:w="100" w:type="dxa"/>
              <w:right w:w="100" w:type="dxa"/>
            </w:tcMar>
          </w:tcPr>
          <w:p w14:paraId="61E596C3"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HLT: NYSE</w:t>
            </w:r>
          </w:p>
        </w:tc>
        <w:tc>
          <w:tcPr>
            <w:tcW w:w="4080" w:type="dxa"/>
            <w:shd w:val="clear" w:color="auto" w:fill="auto"/>
            <w:tcMar>
              <w:top w:w="100" w:type="dxa"/>
              <w:left w:w="100" w:type="dxa"/>
              <w:bottom w:w="100" w:type="dxa"/>
              <w:right w:w="100" w:type="dxa"/>
            </w:tcMar>
          </w:tcPr>
          <w:p w14:paraId="3FD5B22C"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Hilton Worldwide Holding, Inc.</w:t>
            </w:r>
          </w:p>
        </w:tc>
        <w:tc>
          <w:tcPr>
            <w:tcW w:w="1785" w:type="dxa"/>
            <w:shd w:val="clear" w:color="auto" w:fill="auto"/>
            <w:tcMar>
              <w:top w:w="100" w:type="dxa"/>
              <w:left w:w="100" w:type="dxa"/>
              <w:bottom w:w="100" w:type="dxa"/>
              <w:right w:w="100" w:type="dxa"/>
            </w:tcMar>
          </w:tcPr>
          <w:p w14:paraId="04211B14"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0518809F"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 xml:space="preserve">Consumer </w:t>
            </w:r>
            <w:proofErr w:type="spellStart"/>
            <w:r>
              <w:rPr>
                <w:rFonts w:ascii="Times New Roman" w:eastAsia="Times New Roman" w:hAnsi="Times New Roman" w:cs="Times New Roman"/>
              </w:rPr>
              <w:t>Discretionaries</w:t>
            </w:r>
            <w:proofErr w:type="spellEnd"/>
            <w:r>
              <w:rPr>
                <w:rFonts w:ascii="Times New Roman" w:eastAsia="Times New Roman" w:hAnsi="Times New Roman" w:cs="Times New Roman"/>
              </w:rPr>
              <w:t xml:space="preserve"> </w:t>
            </w:r>
          </w:p>
        </w:tc>
      </w:tr>
      <w:tr w:rsidR="009A5E0D" w14:paraId="1C673B60" w14:textId="77777777">
        <w:tc>
          <w:tcPr>
            <w:tcW w:w="2670" w:type="dxa"/>
            <w:shd w:val="clear" w:color="auto" w:fill="auto"/>
            <w:tcMar>
              <w:top w:w="100" w:type="dxa"/>
              <w:left w:w="100" w:type="dxa"/>
              <w:bottom w:w="100" w:type="dxa"/>
              <w:right w:w="100" w:type="dxa"/>
            </w:tcMar>
          </w:tcPr>
          <w:p w14:paraId="7A7D7CB1"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HD: NYSE</w:t>
            </w:r>
          </w:p>
        </w:tc>
        <w:tc>
          <w:tcPr>
            <w:tcW w:w="4080" w:type="dxa"/>
            <w:shd w:val="clear" w:color="auto" w:fill="auto"/>
            <w:tcMar>
              <w:top w:w="100" w:type="dxa"/>
              <w:left w:w="100" w:type="dxa"/>
              <w:bottom w:w="100" w:type="dxa"/>
              <w:right w:w="100" w:type="dxa"/>
            </w:tcMar>
          </w:tcPr>
          <w:p w14:paraId="3B258145"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The Home Depot, Inc.</w:t>
            </w:r>
          </w:p>
        </w:tc>
        <w:tc>
          <w:tcPr>
            <w:tcW w:w="1785" w:type="dxa"/>
            <w:shd w:val="clear" w:color="auto" w:fill="auto"/>
            <w:tcMar>
              <w:top w:w="100" w:type="dxa"/>
              <w:left w:w="100" w:type="dxa"/>
              <w:bottom w:w="100" w:type="dxa"/>
              <w:right w:w="100" w:type="dxa"/>
            </w:tcMar>
          </w:tcPr>
          <w:p w14:paraId="28DD0E5B"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437C8E2D"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 xml:space="preserve">Consumer </w:t>
            </w:r>
            <w:proofErr w:type="spellStart"/>
            <w:r>
              <w:rPr>
                <w:rFonts w:ascii="Times New Roman" w:eastAsia="Times New Roman" w:hAnsi="Times New Roman" w:cs="Times New Roman"/>
              </w:rPr>
              <w:t>Discretionaries</w:t>
            </w:r>
            <w:proofErr w:type="spellEnd"/>
            <w:r>
              <w:rPr>
                <w:rFonts w:ascii="Times New Roman" w:eastAsia="Times New Roman" w:hAnsi="Times New Roman" w:cs="Times New Roman"/>
              </w:rPr>
              <w:t xml:space="preserve"> </w:t>
            </w:r>
          </w:p>
        </w:tc>
      </w:tr>
      <w:tr w:rsidR="009A5E0D" w14:paraId="49BAF6FA" w14:textId="77777777">
        <w:tc>
          <w:tcPr>
            <w:tcW w:w="2670" w:type="dxa"/>
            <w:shd w:val="clear" w:color="auto" w:fill="auto"/>
            <w:tcMar>
              <w:top w:w="100" w:type="dxa"/>
              <w:left w:w="100" w:type="dxa"/>
              <w:bottom w:w="100" w:type="dxa"/>
              <w:right w:w="100" w:type="dxa"/>
            </w:tcMar>
          </w:tcPr>
          <w:p w14:paraId="3F5DA259"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ICC: NASDAQ</w:t>
            </w:r>
          </w:p>
        </w:tc>
        <w:tc>
          <w:tcPr>
            <w:tcW w:w="4080" w:type="dxa"/>
            <w:shd w:val="clear" w:color="auto" w:fill="auto"/>
            <w:tcMar>
              <w:top w:w="100" w:type="dxa"/>
              <w:left w:w="100" w:type="dxa"/>
              <w:bottom w:w="100" w:type="dxa"/>
              <w:right w:w="100" w:type="dxa"/>
            </w:tcMar>
          </w:tcPr>
          <w:p w14:paraId="062A0D52" w14:textId="77777777" w:rsidR="009A5E0D" w:rsidRDefault="00000000">
            <w:pPr>
              <w:widowControl w:val="0"/>
              <w:spacing w:line="240" w:lineRule="auto"/>
              <w:jc w:val="center"/>
              <w:rPr>
                <w:rFonts w:ascii="Times New Roman" w:eastAsia="Times New Roman" w:hAnsi="Times New Roman" w:cs="Times New Roman"/>
              </w:rPr>
            </w:pPr>
            <w:proofErr w:type="spellStart"/>
            <w:r>
              <w:rPr>
                <w:rFonts w:ascii="Times New Roman" w:eastAsia="Times New Roman" w:hAnsi="Times New Roman" w:cs="Times New Roman"/>
              </w:rPr>
              <w:t>ImmuCell</w:t>
            </w:r>
            <w:proofErr w:type="spellEnd"/>
            <w:r>
              <w:rPr>
                <w:rFonts w:ascii="Times New Roman" w:eastAsia="Times New Roman" w:hAnsi="Times New Roman" w:cs="Times New Roman"/>
              </w:rPr>
              <w:t xml:space="preserve"> Corporation </w:t>
            </w:r>
          </w:p>
        </w:tc>
        <w:tc>
          <w:tcPr>
            <w:tcW w:w="1785" w:type="dxa"/>
            <w:shd w:val="clear" w:color="auto" w:fill="auto"/>
            <w:tcMar>
              <w:top w:w="100" w:type="dxa"/>
              <w:left w:w="100" w:type="dxa"/>
              <w:bottom w:w="100" w:type="dxa"/>
              <w:right w:w="100" w:type="dxa"/>
            </w:tcMar>
          </w:tcPr>
          <w:p w14:paraId="164DC63A"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Maine-based</w:t>
            </w:r>
          </w:p>
        </w:tc>
        <w:tc>
          <w:tcPr>
            <w:tcW w:w="2760" w:type="dxa"/>
            <w:shd w:val="clear" w:color="auto" w:fill="auto"/>
            <w:tcMar>
              <w:top w:w="100" w:type="dxa"/>
              <w:left w:w="100" w:type="dxa"/>
              <w:bottom w:w="100" w:type="dxa"/>
              <w:right w:w="100" w:type="dxa"/>
            </w:tcMar>
          </w:tcPr>
          <w:p w14:paraId="40BA64D4"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 xml:space="preserve">Health Care </w:t>
            </w:r>
          </w:p>
        </w:tc>
      </w:tr>
      <w:tr w:rsidR="009A5E0D" w14:paraId="2399FD9B" w14:textId="77777777">
        <w:tc>
          <w:tcPr>
            <w:tcW w:w="2670" w:type="dxa"/>
            <w:shd w:val="clear" w:color="auto" w:fill="auto"/>
            <w:tcMar>
              <w:top w:w="100" w:type="dxa"/>
              <w:left w:w="100" w:type="dxa"/>
              <w:bottom w:w="100" w:type="dxa"/>
              <w:right w:w="100" w:type="dxa"/>
            </w:tcMar>
          </w:tcPr>
          <w:p w14:paraId="24A1A61F"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IDXX: NASDAQ</w:t>
            </w:r>
          </w:p>
        </w:tc>
        <w:tc>
          <w:tcPr>
            <w:tcW w:w="4080" w:type="dxa"/>
            <w:shd w:val="clear" w:color="auto" w:fill="auto"/>
            <w:tcMar>
              <w:top w:w="100" w:type="dxa"/>
              <w:left w:w="100" w:type="dxa"/>
              <w:bottom w:w="100" w:type="dxa"/>
              <w:right w:w="100" w:type="dxa"/>
            </w:tcMar>
          </w:tcPr>
          <w:p w14:paraId="686EA9CF"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IDEXX Laboratories, Inc.</w:t>
            </w:r>
          </w:p>
        </w:tc>
        <w:tc>
          <w:tcPr>
            <w:tcW w:w="1785" w:type="dxa"/>
            <w:shd w:val="clear" w:color="auto" w:fill="auto"/>
            <w:tcMar>
              <w:top w:w="100" w:type="dxa"/>
              <w:left w:w="100" w:type="dxa"/>
              <w:bottom w:w="100" w:type="dxa"/>
              <w:right w:w="100" w:type="dxa"/>
            </w:tcMar>
          </w:tcPr>
          <w:p w14:paraId="78754D07"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Maine-based</w:t>
            </w:r>
          </w:p>
        </w:tc>
        <w:tc>
          <w:tcPr>
            <w:tcW w:w="2760" w:type="dxa"/>
            <w:shd w:val="clear" w:color="auto" w:fill="auto"/>
            <w:tcMar>
              <w:top w:w="100" w:type="dxa"/>
              <w:left w:w="100" w:type="dxa"/>
              <w:bottom w:w="100" w:type="dxa"/>
              <w:right w:w="100" w:type="dxa"/>
            </w:tcMar>
          </w:tcPr>
          <w:p w14:paraId="4718F5C9"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 xml:space="preserve">Health Care </w:t>
            </w:r>
          </w:p>
        </w:tc>
      </w:tr>
      <w:tr w:rsidR="009A5E0D" w14:paraId="39E6E700" w14:textId="77777777">
        <w:tc>
          <w:tcPr>
            <w:tcW w:w="2670" w:type="dxa"/>
            <w:shd w:val="clear" w:color="auto" w:fill="auto"/>
            <w:tcMar>
              <w:top w:w="100" w:type="dxa"/>
              <w:left w:w="100" w:type="dxa"/>
              <w:bottom w:w="100" w:type="dxa"/>
              <w:right w:w="100" w:type="dxa"/>
            </w:tcMar>
          </w:tcPr>
          <w:p w14:paraId="65A2F820"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LOW: NYSE</w:t>
            </w:r>
          </w:p>
        </w:tc>
        <w:tc>
          <w:tcPr>
            <w:tcW w:w="4080" w:type="dxa"/>
            <w:shd w:val="clear" w:color="auto" w:fill="auto"/>
            <w:tcMar>
              <w:top w:w="100" w:type="dxa"/>
              <w:left w:w="100" w:type="dxa"/>
              <w:bottom w:w="100" w:type="dxa"/>
              <w:right w:w="100" w:type="dxa"/>
            </w:tcMar>
          </w:tcPr>
          <w:p w14:paraId="3815D524"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Lowe’s Companies, Inc.</w:t>
            </w:r>
          </w:p>
        </w:tc>
        <w:tc>
          <w:tcPr>
            <w:tcW w:w="1785" w:type="dxa"/>
            <w:shd w:val="clear" w:color="auto" w:fill="auto"/>
            <w:tcMar>
              <w:top w:w="100" w:type="dxa"/>
              <w:left w:w="100" w:type="dxa"/>
              <w:bottom w:w="100" w:type="dxa"/>
              <w:right w:w="100" w:type="dxa"/>
            </w:tcMar>
          </w:tcPr>
          <w:p w14:paraId="389EA709"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397ADFC2"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 xml:space="preserve">Consumer </w:t>
            </w:r>
            <w:proofErr w:type="spellStart"/>
            <w:r>
              <w:rPr>
                <w:rFonts w:ascii="Times New Roman" w:eastAsia="Times New Roman" w:hAnsi="Times New Roman" w:cs="Times New Roman"/>
              </w:rPr>
              <w:t>Discretionaries</w:t>
            </w:r>
            <w:proofErr w:type="spellEnd"/>
            <w:r>
              <w:rPr>
                <w:rFonts w:ascii="Times New Roman" w:eastAsia="Times New Roman" w:hAnsi="Times New Roman" w:cs="Times New Roman"/>
              </w:rPr>
              <w:t xml:space="preserve"> </w:t>
            </w:r>
          </w:p>
        </w:tc>
      </w:tr>
      <w:tr w:rsidR="009A5E0D" w14:paraId="659DFC61" w14:textId="77777777">
        <w:tc>
          <w:tcPr>
            <w:tcW w:w="2670" w:type="dxa"/>
            <w:shd w:val="clear" w:color="auto" w:fill="auto"/>
            <w:tcMar>
              <w:top w:w="100" w:type="dxa"/>
              <w:left w:w="100" w:type="dxa"/>
              <w:bottom w:w="100" w:type="dxa"/>
              <w:right w:w="100" w:type="dxa"/>
            </w:tcMar>
          </w:tcPr>
          <w:p w14:paraId="6A38B673"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MCD: NYSE</w:t>
            </w:r>
          </w:p>
        </w:tc>
        <w:tc>
          <w:tcPr>
            <w:tcW w:w="4080" w:type="dxa"/>
            <w:shd w:val="clear" w:color="auto" w:fill="auto"/>
            <w:tcMar>
              <w:top w:w="100" w:type="dxa"/>
              <w:left w:w="100" w:type="dxa"/>
              <w:bottom w:w="100" w:type="dxa"/>
              <w:right w:w="100" w:type="dxa"/>
            </w:tcMar>
          </w:tcPr>
          <w:p w14:paraId="1CBC569C"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McDonalds Corporation</w:t>
            </w:r>
          </w:p>
        </w:tc>
        <w:tc>
          <w:tcPr>
            <w:tcW w:w="1785" w:type="dxa"/>
            <w:shd w:val="clear" w:color="auto" w:fill="auto"/>
            <w:tcMar>
              <w:top w:w="100" w:type="dxa"/>
              <w:left w:w="100" w:type="dxa"/>
              <w:bottom w:w="100" w:type="dxa"/>
              <w:right w:w="100" w:type="dxa"/>
            </w:tcMar>
          </w:tcPr>
          <w:p w14:paraId="005369AE"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1B09E4DF"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 xml:space="preserve">Consumer </w:t>
            </w:r>
            <w:proofErr w:type="spellStart"/>
            <w:r>
              <w:rPr>
                <w:rFonts w:ascii="Times New Roman" w:eastAsia="Times New Roman" w:hAnsi="Times New Roman" w:cs="Times New Roman"/>
              </w:rPr>
              <w:t>Discretionaries</w:t>
            </w:r>
            <w:proofErr w:type="spellEnd"/>
            <w:r>
              <w:rPr>
                <w:rFonts w:ascii="Times New Roman" w:eastAsia="Times New Roman" w:hAnsi="Times New Roman" w:cs="Times New Roman"/>
              </w:rPr>
              <w:t xml:space="preserve"> </w:t>
            </w:r>
          </w:p>
        </w:tc>
      </w:tr>
      <w:tr w:rsidR="009A5E0D" w14:paraId="38448EFD" w14:textId="77777777">
        <w:tc>
          <w:tcPr>
            <w:tcW w:w="2670" w:type="dxa"/>
            <w:shd w:val="clear" w:color="auto" w:fill="auto"/>
            <w:tcMar>
              <w:top w:w="100" w:type="dxa"/>
              <w:left w:w="100" w:type="dxa"/>
              <w:bottom w:w="100" w:type="dxa"/>
              <w:right w:w="100" w:type="dxa"/>
            </w:tcMar>
          </w:tcPr>
          <w:p w14:paraId="78E7F465"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NBN: NASDAQ</w:t>
            </w:r>
          </w:p>
        </w:tc>
        <w:tc>
          <w:tcPr>
            <w:tcW w:w="4080" w:type="dxa"/>
            <w:shd w:val="clear" w:color="auto" w:fill="auto"/>
            <w:tcMar>
              <w:top w:w="100" w:type="dxa"/>
              <w:left w:w="100" w:type="dxa"/>
              <w:bottom w:w="100" w:type="dxa"/>
              <w:right w:w="100" w:type="dxa"/>
            </w:tcMar>
          </w:tcPr>
          <w:p w14:paraId="7597BAC1"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Northeast Bank</w:t>
            </w:r>
          </w:p>
        </w:tc>
        <w:tc>
          <w:tcPr>
            <w:tcW w:w="1785" w:type="dxa"/>
            <w:shd w:val="clear" w:color="auto" w:fill="auto"/>
            <w:tcMar>
              <w:top w:w="100" w:type="dxa"/>
              <w:left w:w="100" w:type="dxa"/>
              <w:bottom w:w="100" w:type="dxa"/>
              <w:right w:w="100" w:type="dxa"/>
            </w:tcMar>
          </w:tcPr>
          <w:p w14:paraId="58E465E3"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Maine-based</w:t>
            </w:r>
          </w:p>
        </w:tc>
        <w:tc>
          <w:tcPr>
            <w:tcW w:w="2760" w:type="dxa"/>
            <w:shd w:val="clear" w:color="auto" w:fill="auto"/>
            <w:tcMar>
              <w:top w:w="100" w:type="dxa"/>
              <w:left w:w="100" w:type="dxa"/>
              <w:bottom w:w="100" w:type="dxa"/>
              <w:right w:w="100" w:type="dxa"/>
            </w:tcMar>
          </w:tcPr>
          <w:p w14:paraId="4D25A555" w14:textId="77777777" w:rsidR="009A5E0D" w:rsidRDefault="00000000">
            <w:pPr>
              <w:widowControl w:val="0"/>
              <w:spacing w:line="240" w:lineRule="auto"/>
              <w:jc w:val="center"/>
              <w:rPr>
                <w:rFonts w:ascii="Times New Roman" w:eastAsia="Times New Roman" w:hAnsi="Times New Roman" w:cs="Times New Roman"/>
              </w:rPr>
            </w:pPr>
            <w:proofErr w:type="spellStart"/>
            <w:r>
              <w:rPr>
                <w:rFonts w:ascii="Times New Roman" w:eastAsia="Times New Roman" w:hAnsi="Times New Roman" w:cs="Times New Roman"/>
              </w:rPr>
              <w:t>Fincancials</w:t>
            </w:r>
            <w:proofErr w:type="spellEnd"/>
          </w:p>
        </w:tc>
      </w:tr>
      <w:tr w:rsidR="009A5E0D" w14:paraId="2E481446" w14:textId="77777777">
        <w:tc>
          <w:tcPr>
            <w:tcW w:w="2670" w:type="dxa"/>
            <w:shd w:val="clear" w:color="auto" w:fill="auto"/>
            <w:tcMar>
              <w:top w:w="100" w:type="dxa"/>
              <w:left w:w="100" w:type="dxa"/>
              <w:bottom w:w="100" w:type="dxa"/>
              <w:right w:w="100" w:type="dxa"/>
            </w:tcMar>
          </w:tcPr>
          <w:p w14:paraId="392E42F9"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PENN: NASDAQ</w:t>
            </w:r>
          </w:p>
        </w:tc>
        <w:tc>
          <w:tcPr>
            <w:tcW w:w="4080" w:type="dxa"/>
            <w:shd w:val="clear" w:color="auto" w:fill="auto"/>
            <w:tcMar>
              <w:top w:w="100" w:type="dxa"/>
              <w:left w:w="100" w:type="dxa"/>
              <w:bottom w:w="100" w:type="dxa"/>
              <w:right w:w="100" w:type="dxa"/>
            </w:tcMar>
          </w:tcPr>
          <w:p w14:paraId="3ECC13BD"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Penn National Gaming, Inc.</w:t>
            </w:r>
          </w:p>
        </w:tc>
        <w:tc>
          <w:tcPr>
            <w:tcW w:w="1785" w:type="dxa"/>
            <w:shd w:val="clear" w:color="auto" w:fill="auto"/>
            <w:tcMar>
              <w:top w:w="100" w:type="dxa"/>
              <w:left w:w="100" w:type="dxa"/>
              <w:bottom w:w="100" w:type="dxa"/>
              <w:right w:w="100" w:type="dxa"/>
            </w:tcMar>
          </w:tcPr>
          <w:p w14:paraId="361E05DD"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38D3BEB6"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 xml:space="preserve">Consumer </w:t>
            </w:r>
            <w:proofErr w:type="spellStart"/>
            <w:r>
              <w:rPr>
                <w:rFonts w:ascii="Times New Roman" w:eastAsia="Times New Roman" w:hAnsi="Times New Roman" w:cs="Times New Roman"/>
              </w:rPr>
              <w:t>Discretionaries</w:t>
            </w:r>
            <w:proofErr w:type="spellEnd"/>
            <w:r>
              <w:rPr>
                <w:rFonts w:ascii="Times New Roman" w:eastAsia="Times New Roman" w:hAnsi="Times New Roman" w:cs="Times New Roman"/>
              </w:rPr>
              <w:t xml:space="preserve"> </w:t>
            </w:r>
          </w:p>
        </w:tc>
      </w:tr>
      <w:tr w:rsidR="009A5E0D" w14:paraId="754756E6" w14:textId="77777777">
        <w:tc>
          <w:tcPr>
            <w:tcW w:w="2670" w:type="dxa"/>
            <w:shd w:val="clear" w:color="auto" w:fill="auto"/>
            <w:tcMar>
              <w:top w:w="100" w:type="dxa"/>
              <w:left w:w="100" w:type="dxa"/>
              <w:bottom w:w="100" w:type="dxa"/>
              <w:right w:w="100" w:type="dxa"/>
            </w:tcMar>
          </w:tcPr>
          <w:p w14:paraId="1E3E9833"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RTX: NYSE</w:t>
            </w:r>
          </w:p>
        </w:tc>
        <w:tc>
          <w:tcPr>
            <w:tcW w:w="4080" w:type="dxa"/>
            <w:shd w:val="clear" w:color="auto" w:fill="auto"/>
            <w:tcMar>
              <w:top w:w="100" w:type="dxa"/>
              <w:left w:w="100" w:type="dxa"/>
              <w:bottom w:w="100" w:type="dxa"/>
              <w:right w:w="100" w:type="dxa"/>
            </w:tcMar>
          </w:tcPr>
          <w:p w14:paraId="62619D0A"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Raytheon Technologies Corporation</w:t>
            </w:r>
          </w:p>
        </w:tc>
        <w:tc>
          <w:tcPr>
            <w:tcW w:w="1785" w:type="dxa"/>
            <w:shd w:val="clear" w:color="auto" w:fill="auto"/>
            <w:tcMar>
              <w:top w:w="100" w:type="dxa"/>
              <w:left w:w="100" w:type="dxa"/>
              <w:bottom w:w="100" w:type="dxa"/>
              <w:right w:w="100" w:type="dxa"/>
            </w:tcMar>
          </w:tcPr>
          <w:p w14:paraId="55D27188"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055A53A3"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Industrials</w:t>
            </w:r>
          </w:p>
        </w:tc>
      </w:tr>
      <w:tr w:rsidR="009A5E0D" w14:paraId="60B0AE14" w14:textId="77777777">
        <w:tc>
          <w:tcPr>
            <w:tcW w:w="2670" w:type="dxa"/>
            <w:shd w:val="clear" w:color="auto" w:fill="auto"/>
            <w:tcMar>
              <w:top w:w="100" w:type="dxa"/>
              <w:left w:w="100" w:type="dxa"/>
              <w:bottom w:w="100" w:type="dxa"/>
              <w:right w:w="100" w:type="dxa"/>
            </w:tcMar>
          </w:tcPr>
          <w:p w14:paraId="4CDDA8B8"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TD: NYSE</w:t>
            </w:r>
          </w:p>
        </w:tc>
        <w:tc>
          <w:tcPr>
            <w:tcW w:w="4080" w:type="dxa"/>
            <w:shd w:val="clear" w:color="auto" w:fill="auto"/>
            <w:tcMar>
              <w:top w:w="100" w:type="dxa"/>
              <w:left w:w="100" w:type="dxa"/>
              <w:bottom w:w="100" w:type="dxa"/>
              <w:right w:w="100" w:type="dxa"/>
            </w:tcMar>
          </w:tcPr>
          <w:p w14:paraId="6E9E7BB9"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The Toronto-Dominion Bank</w:t>
            </w:r>
          </w:p>
        </w:tc>
        <w:tc>
          <w:tcPr>
            <w:tcW w:w="1785" w:type="dxa"/>
            <w:shd w:val="clear" w:color="auto" w:fill="auto"/>
            <w:tcMar>
              <w:top w:w="100" w:type="dxa"/>
              <w:left w:w="100" w:type="dxa"/>
              <w:bottom w:w="100" w:type="dxa"/>
              <w:right w:w="100" w:type="dxa"/>
            </w:tcMar>
          </w:tcPr>
          <w:p w14:paraId="50FD6317"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23CF3F00" w14:textId="77777777" w:rsidR="009A5E0D" w:rsidRDefault="00000000">
            <w:pPr>
              <w:widowControl w:val="0"/>
              <w:spacing w:line="240" w:lineRule="auto"/>
              <w:jc w:val="center"/>
              <w:rPr>
                <w:rFonts w:ascii="Times New Roman" w:eastAsia="Times New Roman" w:hAnsi="Times New Roman" w:cs="Times New Roman"/>
              </w:rPr>
            </w:pPr>
            <w:proofErr w:type="spellStart"/>
            <w:r>
              <w:rPr>
                <w:rFonts w:ascii="Times New Roman" w:eastAsia="Times New Roman" w:hAnsi="Times New Roman" w:cs="Times New Roman"/>
              </w:rPr>
              <w:t>Fincancials</w:t>
            </w:r>
            <w:proofErr w:type="spellEnd"/>
          </w:p>
        </w:tc>
      </w:tr>
      <w:tr w:rsidR="009A5E0D" w14:paraId="661C0F6C" w14:textId="77777777">
        <w:tc>
          <w:tcPr>
            <w:tcW w:w="2670" w:type="dxa"/>
            <w:shd w:val="clear" w:color="auto" w:fill="auto"/>
            <w:tcMar>
              <w:top w:w="100" w:type="dxa"/>
              <w:left w:w="100" w:type="dxa"/>
              <w:bottom w:w="100" w:type="dxa"/>
              <w:right w:w="100" w:type="dxa"/>
            </w:tcMar>
          </w:tcPr>
          <w:p w14:paraId="75130F40"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TMUS: NASDAQ</w:t>
            </w:r>
          </w:p>
        </w:tc>
        <w:tc>
          <w:tcPr>
            <w:tcW w:w="4080" w:type="dxa"/>
            <w:shd w:val="clear" w:color="auto" w:fill="auto"/>
            <w:tcMar>
              <w:top w:w="100" w:type="dxa"/>
              <w:left w:w="100" w:type="dxa"/>
              <w:bottom w:w="100" w:type="dxa"/>
              <w:right w:w="100" w:type="dxa"/>
            </w:tcMar>
          </w:tcPr>
          <w:p w14:paraId="773D1038"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T-Mobile US, Inc.</w:t>
            </w:r>
          </w:p>
        </w:tc>
        <w:tc>
          <w:tcPr>
            <w:tcW w:w="1785" w:type="dxa"/>
            <w:shd w:val="clear" w:color="auto" w:fill="auto"/>
            <w:tcMar>
              <w:top w:w="100" w:type="dxa"/>
              <w:left w:w="100" w:type="dxa"/>
              <w:bottom w:w="100" w:type="dxa"/>
              <w:right w:w="100" w:type="dxa"/>
            </w:tcMar>
          </w:tcPr>
          <w:p w14:paraId="7CA42BDA"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41333F9C"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Consumer Services</w:t>
            </w:r>
          </w:p>
        </w:tc>
      </w:tr>
      <w:tr w:rsidR="009A5E0D" w14:paraId="320058DF" w14:textId="77777777">
        <w:tc>
          <w:tcPr>
            <w:tcW w:w="2670" w:type="dxa"/>
            <w:shd w:val="clear" w:color="auto" w:fill="auto"/>
            <w:tcMar>
              <w:top w:w="100" w:type="dxa"/>
              <w:left w:w="100" w:type="dxa"/>
              <w:bottom w:w="100" w:type="dxa"/>
              <w:right w:w="100" w:type="dxa"/>
            </w:tcMar>
          </w:tcPr>
          <w:p w14:paraId="5D889493"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UPS: NYSE</w:t>
            </w:r>
          </w:p>
        </w:tc>
        <w:tc>
          <w:tcPr>
            <w:tcW w:w="4080" w:type="dxa"/>
            <w:shd w:val="clear" w:color="auto" w:fill="auto"/>
            <w:tcMar>
              <w:top w:w="100" w:type="dxa"/>
              <w:left w:w="100" w:type="dxa"/>
              <w:bottom w:w="100" w:type="dxa"/>
              <w:right w:w="100" w:type="dxa"/>
            </w:tcMar>
          </w:tcPr>
          <w:p w14:paraId="5BB8AC49"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 xml:space="preserve">United Parcel Service, Inc. </w:t>
            </w:r>
          </w:p>
        </w:tc>
        <w:tc>
          <w:tcPr>
            <w:tcW w:w="1785" w:type="dxa"/>
            <w:shd w:val="clear" w:color="auto" w:fill="auto"/>
            <w:tcMar>
              <w:top w:w="100" w:type="dxa"/>
              <w:left w:w="100" w:type="dxa"/>
              <w:bottom w:w="100" w:type="dxa"/>
              <w:right w:w="100" w:type="dxa"/>
            </w:tcMar>
          </w:tcPr>
          <w:p w14:paraId="56B6410A"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28E9F247"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Industrials</w:t>
            </w:r>
          </w:p>
        </w:tc>
      </w:tr>
      <w:tr w:rsidR="009A5E0D" w14:paraId="4F416169" w14:textId="77777777">
        <w:tc>
          <w:tcPr>
            <w:tcW w:w="2670" w:type="dxa"/>
            <w:shd w:val="clear" w:color="auto" w:fill="auto"/>
            <w:tcMar>
              <w:top w:w="100" w:type="dxa"/>
              <w:left w:w="100" w:type="dxa"/>
              <w:bottom w:w="100" w:type="dxa"/>
              <w:right w:w="100" w:type="dxa"/>
            </w:tcMar>
          </w:tcPr>
          <w:p w14:paraId="525E3D00"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UNM: NYSE</w:t>
            </w:r>
          </w:p>
        </w:tc>
        <w:tc>
          <w:tcPr>
            <w:tcW w:w="4080" w:type="dxa"/>
            <w:shd w:val="clear" w:color="auto" w:fill="auto"/>
            <w:tcMar>
              <w:top w:w="100" w:type="dxa"/>
              <w:left w:w="100" w:type="dxa"/>
              <w:bottom w:w="100" w:type="dxa"/>
              <w:right w:w="100" w:type="dxa"/>
            </w:tcMar>
          </w:tcPr>
          <w:p w14:paraId="0457089D"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UNUM Group</w:t>
            </w:r>
          </w:p>
        </w:tc>
        <w:tc>
          <w:tcPr>
            <w:tcW w:w="1785" w:type="dxa"/>
            <w:shd w:val="clear" w:color="auto" w:fill="auto"/>
            <w:tcMar>
              <w:top w:w="100" w:type="dxa"/>
              <w:left w:w="100" w:type="dxa"/>
              <w:bottom w:w="100" w:type="dxa"/>
              <w:right w:w="100" w:type="dxa"/>
            </w:tcMar>
          </w:tcPr>
          <w:p w14:paraId="19F219D2"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77D55C43" w14:textId="77777777" w:rsidR="009A5E0D" w:rsidRDefault="00000000">
            <w:pPr>
              <w:widowControl w:val="0"/>
              <w:spacing w:line="240" w:lineRule="auto"/>
              <w:jc w:val="center"/>
              <w:rPr>
                <w:rFonts w:ascii="Times New Roman" w:eastAsia="Times New Roman" w:hAnsi="Times New Roman" w:cs="Times New Roman"/>
              </w:rPr>
            </w:pPr>
            <w:proofErr w:type="spellStart"/>
            <w:r>
              <w:rPr>
                <w:rFonts w:ascii="Times New Roman" w:eastAsia="Times New Roman" w:hAnsi="Times New Roman" w:cs="Times New Roman"/>
              </w:rPr>
              <w:t>Fincancials</w:t>
            </w:r>
            <w:proofErr w:type="spellEnd"/>
          </w:p>
        </w:tc>
      </w:tr>
      <w:tr w:rsidR="009A5E0D" w14:paraId="7379EB70" w14:textId="77777777">
        <w:tc>
          <w:tcPr>
            <w:tcW w:w="2670" w:type="dxa"/>
            <w:shd w:val="clear" w:color="auto" w:fill="auto"/>
            <w:tcMar>
              <w:top w:w="100" w:type="dxa"/>
              <w:left w:w="100" w:type="dxa"/>
              <w:bottom w:w="100" w:type="dxa"/>
              <w:right w:w="100" w:type="dxa"/>
            </w:tcMar>
          </w:tcPr>
          <w:p w14:paraId="1A42E8B7"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VLO: NYSE</w:t>
            </w:r>
          </w:p>
        </w:tc>
        <w:tc>
          <w:tcPr>
            <w:tcW w:w="4080" w:type="dxa"/>
            <w:shd w:val="clear" w:color="auto" w:fill="auto"/>
            <w:tcMar>
              <w:top w:w="100" w:type="dxa"/>
              <w:left w:w="100" w:type="dxa"/>
              <w:bottom w:w="100" w:type="dxa"/>
              <w:right w:w="100" w:type="dxa"/>
            </w:tcMar>
          </w:tcPr>
          <w:p w14:paraId="13E679B8"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Valero Energy Corporation</w:t>
            </w:r>
          </w:p>
        </w:tc>
        <w:tc>
          <w:tcPr>
            <w:tcW w:w="1785" w:type="dxa"/>
            <w:shd w:val="clear" w:color="auto" w:fill="auto"/>
            <w:tcMar>
              <w:top w:w="100" w:type="dxa"/>
              <w:left w:w="100" w:type="dxa"/>
              <w:bottom w:w="100" w:type="dxa"/>
              <w:right w:w="100" w:type="dxa"/>
            </w:tcMar>
          </w:tcPr>
          <w:p w14:paraId="0BD83507"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00771554"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Energy</w:t>
            </w:r>
          </w:p>
        </w:tc>
      </w:tr>
      <w:tr w:rsidR="009A5E0D" w14:paraId="32BEDAD2" w14:textId="77777777">
        <w:tc>
          <w:tcPr>
            <w:tcW w:w="2670" w:type="dxa"/>
            <w:shd w:val="clear" w:color="auto" w:fill="auto"/>
            <w:tcMar>
              <w:top w:w="100" w:type="dxa"/>
              <w:left w:w="100" w:type="dxa"/>
              <w:bottom w:w="100" w:type="dxa"/>
              <w:right w:w="100" w:type="dxa"/>
            </w:tcMar>
          </w:tcPr>
          <w:p w14:paraId="274A232C"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WMT: NYSE</w:t>
            </w:r>
          </w:p>
        </w:tc>
        <w:tc>
          <w:tcPr>
            <w:tcW w:w="4080" w:type="dxa"/>
            <w:shd w:val="clear" w:color="auto" w:fill="auto"/>
            <w:tcMar>
              <w:top w:w="100" w:type="dxa"/>
              <w:left w:w="100" w:type="dxa"/>
              <w:bottom w:w="100" w:type="dxa"/>
              <w:right w:w="100" w:type="dxa"/>
            </w:tcMar>
          </w:tcPr>
          <w:p w14:paraId="62341B2F"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Walmart, Inc.</w:t>
            </w:r>
          </w:p>
        </w:tc>
        <w:tc>
          <w:tcPr>
            <w:tcW w:w="1785" w:type="dxa"/>
            <w:shd w:val="clear" w:color="auto" w:fill="auto"/>
            <w:tcMar>
              <w:top w:w="100" w:type="dxa"/>
              <w:left w:w="100" w:type="dxa"/>
              <w:bottom w:w="100" w:type="dxa"/>
              <w:right w:w="100" w:type="dxa"/>
            </w:tcMar>
          </w:tcPr>
          <w:p w14:paraId="0403CFDE"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214A1971"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Consumer Services</w:t>
            </w:r>
          </w:p>
        </w:tc>
      </w:tr>
      <w:tr w:rsidR="009A5E0D" w14:paraId="1F9CF9DE" w14:textId="77777777">
        <w:tc>
          <w:tcPr>
            <w:tcW w:w="2670" w:type="dxa"/>
            <w:shd w:val="clear" w:color="auto" w:fill="auto"/>
            <w:tcMar>
              <w:top w:w="100" w:type="dxa"/>
              <w:left w:w="100" w:type="dxa"/>
              <w:bottom w:w="100" w:type="dxa"/>
              <w:right w:w="100" w:type="dxa"/>
            </w:tcMar>
          </w:tcPr>
          <w:p w14:paraId="5EDD6ACD"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WEX: NYSE</w:t>
            </w:r>
          </w:p>
        </w:tc>
        <w:tc>
          <w:tcPr>
            <w:tcW w:w="4080" w:type="dxa"/>
            <w:shd w:val="clear" w:color="auto" w:fill="auto"/>
            <w:tcMar>
              <w:top w:w="100" w:type="dxa"/>
              <w:left w:w="100" w:type="dxa"/>
              <w:bottom w:w="100" w:type="dxa"/>
              <w:right w:w="100" w:type="dxa"/>
            </w:tcMar>
          </w:tcPr>
          <w:p w14:paraId="6F57235F"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 xml:space="preserve">WEX, Inc. </w:t>
            </w:r>
          </w:p>
        </w:tc>
        <w:tc>
          <w:tcPr>
            <w:tcW w:w="1785" w:type="dxa"/>
            <w:shd w:val="clear" w:color="auto" w:fill="auto"/>
            <w:tcMar>
              <w:top w:w="100" w:type="dxa"/>
              <w:left w:w="100" w:type="dxa"/>
              <w:bottom w:w="100" w:type="dxa"/>
              <w:right w:w="100" w:type="dxa"/>
            </w:tcMar>
          </w:tcPr>
          <w:p w14:paraId="7CF4D8BD"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582BB3C9"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Information Technologies</w:t>
            </w:r>
          </w:p>
        </w:tc>
      </w:tr>
      <w:tr w:rsidR="009A5E0D" w14:paraId="112D7B2A" w14:textId="77777777">
        <w:tc>
          <w:tcPr>
            <w:tcW w:w="2670" w:type="dxa"/>
            <w:shd w:val="clear" w:color="auto" w:fill="auto"/>
            <w:tcMar>
              <w:top w:w="100" w:type="dxa"/>
              <w:left w:w="100" w:type="dxa"/>
              <w:bottom w:w="100" w:type="dxa"/>
              <w:right w:w="100" w:type="dxa"/>
            </w:tcMar>
          </w:tcPr>
          <w:p w14:paraId="642A76F0"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lastRenderedPageBreak/>
              <w:t>WBA: NASDAQ</w:t>
            </w:r>
          </w:p>
        </w:tc>
        <w:tc>
          <w:tcPr>
            <w:tcW w:w="4080" w:type="dxa"/>
            <w:shd w:val="clear" w:color="auto" w:fill="auto"/>
            <w:tcMar>
              <w:top w:w="100" w:type="dxa"/>
              <w:left w:w="100" w:type="dxa"/>
              <w:bottom w:w="100" w:type="dxa"/>
              <w:right w:w="100" w:type="dxa"/>
            </w:tcMar>
          </w:tcPr>
          <w:p w14:paraId="4C21C55B"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Walgreens Boots Alliance, Inc.</w:t>
            </w:r>
          </w:p>
        </w:tc>
        <w:tc>
          <w:tcPr>
            <w:tcW w:w="1785" w:type="dxa"/>
            <w:shd w:val="clear" w:color="auto" w:fill="auto"/>
            <w:tcMar>
              <w:top w:w="100" w:type="dxa"/>
              <w:left w:w="100" w:type="dxa"/>
              <w:bottom w:w="100" w:type="dxa"/>
              <w:right w:w="100" w:type="dxa"/>
            </w:tcMar>
          </w:tcPr>
          <w:p w14:paraId="469D0AAD"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presence</w:t>
            </w:r>
          </w:p>
        </w:tc>
        <w:tc>
          <w:tcPr>
            <w:tcW w:w="2760" w:type="dxa"/>
            <w:shd w:val="clear" w:color="auto" w:fill="auto"/>
            <w:tcMar>
              <w:top w:w="100" w:type="dxa"/>
              <w:left w:w="100" w:type="dxa"/>
              <w:bottom w:w="100" w:type="dxa"/>
              <w:right w:w="100" w:type="dxa"/>
            </w:tcMar>
          </w:tcPr>
          <w:p w14:paraId="11AF67CA" w14:textId="77777777" w:rsidR="009A5E0D" w:rsidRDefault="00000000">
            <w:pPr>
              <w:widowControl w:val="0"/>
              <w:spacing w:line="240" w:lineRule="auto"/>
              <w:jc w:val="center"/>
              <w:rPr>
                <w:rFonts w:ascii="Times New Roman" w:eastAsia="Times New Roman" w:hAnsi="Times New Roman" w:cs="Times New Roman"/>
              </w:rPr>
            </w:pPr>
            <w:r>
              <w:rPr>
                <w:rFonts w:ascii="Times New Roman" w:eastAsia="Times New Roman" w:hAnsi="Times New Roman" w:cs="Times New Roman"/>
              </w:rPr>
              <w:t>Consumer Staples</w:t>
            </w:r>
          </w:p>
        </w:tc>
      </w:tr>
    </w:tbl>
    <w:p w14:paraId="18DAB860" w14:textId="77777777" w:rsidR="009A5E0D" w:rsidRDefault="009A5E0D">
      <w:pPr>
        <w:rPr>
          <w:rFonts w:ascii="Times New Roman" w:eastAsia="Times New Roman" w:hAnsi="Times New Roman" w:cs="Times New Roman"/>
        </w:rPr>
      </w:pPr>
    </w:p>
    <w:p w14:paraId="19E0049B" w14:textId="77777777" w:rsidR="009A5E0D" w:rsidRDefault="009A5E0D"/>
    <w:sectPr w:rsidR="009A5E0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5E0D"/>
    <w:rsid w:val="00156DA0"/>
    <w:rsid w:val="003B0CF4"/>
    <w:rsid w:val="00610134"/>
    <w:rsid w:val="009A5E0D"/>
    <w:rsid w:val="00EA40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7A3F94"/>
  <w15:docId w15:val="{349CE858-904A-4F4A-85A9-1F49C1266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zh-CN"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Revision">
    <w:name w:val="Revision"/>
    <w:hidden/>
    <w:uiPriority w:val="99"/>
    <w:semiHidden/>
    <w:rsid w:val="00156DA0"/>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stockanalysis.com/stocks/pen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5</Pages>
  <Words>1210</Words>
  <Characters>6899</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Jia Liu</cp:lastModifiedBy>
  <cp:revision>3</cp:revision>
  <dcterms:created xsi:type="dcterms:W3CDTF">2025-06-08T22:59:00Z</dcterms:created>
  <dcterms:modified xsi:type="dcterms:W3CDTF">2025-06-08T23:15:00Z</dcterms:modified>
</cp:coreProperties>
</file>