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65549" w14:textId="77777777" w:rsidR="00800964"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Husson Stock Index</w:t>
      </w:r>
    </w:p>
    <w:p w14:paraId="7D62D8E9" w14:textId="77777777" w:rsidR="00800964"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 xml:space="preserve"> </w:t>
      </w:r>
    </w:p>
    <w:p w14:paraId="54286B8A" w14:textId="77777777" w:rsidR="00800964"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Week ended Friday, December 5, 2025</w:t>
      </w:r>
    </w:p>
    <w:p w14:paraId="2DB26194" w14:textId="77777777" w:rsidR="00800964"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2F563971" w14:textId="5FFC4171" w:rsidR="00800964" w:rsidRDefault="00000000">
      <w:pPr>
        <w:ind w:firstLine="720"/>
        <w:rPr>
          <w:rFonts w:ascii="Times New Roman" w:eastAsia="Times New Roman" w:hAnsi="Times New Roman" w:cs="Times New Roman"/>
        </w:rPr>
      </w:pPr>
      <w:r>
        <w:rPr>
          <w:rFonts w:ascii="Times New Roman" w:eastAsia="Times New Roman" w:hAnsi="Times New Roman" w:cs="Times New Roman"/>
        </w:rPr>
        <w:t>For the week ending December 5, 2025, the Husson Stock Index (HSI) closed at 252.36, reflecting a .96% decrease from the previous week and a 9.11% increase year to date. The S&amp;P 500 increased .31% over the week, and it is up 16.81% year</w:t>
      </w:r>
      <w:r w:rsidR="004D7A43">
        <w:rPr>
          <w:rFonts w:ascii="Times New Roman" w:eastAsia="Times New Roman" w:hAnsi="Times New Roman" w:cs="Times New Roman"/>
        </w:rPr>
        <w:t xml:space="preserve"> </w:t>
      </w:r>
      <w:r>
        <w:rPr>
          <w:rFonts w:ascii="Times New Roman" w:eastAsia="Times New Roman" w:hAnsi="Times New Roman" w:cs="Times New Roman"/>
        </w:rPr>
        <w:t>to</w:t>
      </w:r>
      <w:r w:rsidR="004D7A43">
        <w:rPr>
          <w:rFonts w:ascii="Times New Roman" w:eastAsia="Times New Roman" w:hAnsi="Times New Roman" w:cs="Times New Roman"/>
        </w:rPr>
        <w:t xml:space="preserve"> </w:t>
      </w:r>
      <w:r>
        <w:rPr>
          <w:rFonts w:ascii="Times New Roman" w:eastAsia="Times New Roman" w:hAnsi="Times New Roman" w:cs="Times New Roman"/>
        </w:rPr>
        <w:t>date. Similarly, the Dow Jones Industrial Average (DJIA) increased .50% for the week, with a year-to-date of 12.72%.</w:t>
      </w:r>
    </w:p>
    <w:p w14:paraId="19E67341" w14:textId="77777777" w:rsidR="00800964" w:rsidRDefault="00800964">
      <w:pPr>
        <w:rPr>
          <w:rFonts w:ascii="Times New Roman" w:eastAsia="Times New Roman" w:hAnsi="Times New Roman" w:cs="Times New Roman"/>
        </w:rPr>
      </w:pPr>
    </w:p>
    <w:p w14:paraId="38E037DD" w14:textId="77777777" w:rsidR="00800964"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Summary</w:t>
      </w:r>
    </w:p>
    <w:p w14:paraId="0CCBFC6B" w14:textId="791009BF" w:rsidR="00800964" w:rsidRDefault="004D7A43">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r w:rsidR="002C0A83">
        <w:rPr>
          <w:rFonts w:ascii="Times New Roman" w:eastAsia="Times New Roman" w:hAnsi="Times New Roman" w:cs="Times New Roman"/>
        </w:rPr>
        <w:t xml:space="preserve"> </w:t>
      </w:r>
      <w:r>
        <w:rPr>
          <w:rFonts w:ascii="Times New Roman" w:eastAsia="Times New Roman" w:hAnsi="Times New Roman" w:cs="Times New Roman"/>
        </w:rPr>
        <w:t xml:space="preserve"> </w:t>
      </w:r>
      <w:proofErr w:type="spellStart"/>
      <w:r>
        <w:rPr>
          <w:rFonts w:ascii="Times New Roman" w:eastAsia="Times New Roman" w:hAnsi="Times New Roman" w:cs="Times New Roman"/>
        </w:rPr>
        <w:t>ImmuCell</w:t>
      </w:r>
      <w:proofErr w:type="spellEnd"/>
      <w:r>
        <w:rPr>
          <w:rFonts w:ascii="Times New Roman" w:eastAsia="Times New Roman" w:hAnsi="Times New Roman" w:cs="Times New Roman"/>
        </w:rPr>
        <w:t xml:space="preserve"> Corporation (ICCC) stood out as the strongest performer in the index this week, finishing 16.53% higher than the previous week. The small animal-health company is best known for developing products for dairy and beef cattle, with its flagship product, First Defense, serving as its most profitable offering. First Defense has played a major role in helping farmers protect young animals from early life illnesses, making it a valuable tool throughout the cattle industry. Alongside this success, ImmuCell is advancing the development of a new treatment called Re-Tain. This product is designed to address mastitis in dairy cows without relying on traditional antibiotics. Because mastitis is one of the most common and costly health problems in dairy farming, a non-antibiotic treatment like Re-Tain has the potential to be especially beneficial. If approved, it could become a significant source of future growth for the company and provide hope for expansion into a larger market, as it offers a novel solution to a widespread industry issue. Its approval could substantially enhance </w:t>
      </w:r>
      <w:proofErr w:type="spellStart"/>
      <w:r>
        <w:rPr>
          <w:rFonts w:ascii="Times New Roman" w:eastAsia="Times New Roman" w:hAnsi="Times New Roman" w:cs="Times New Roman"/>
        </w:rPr>
        <w:t>ImmuCell’s</w:t>
      </w:r>
      <w:proofErr w:type="spellEnd"/>
      <w:r>
        <w:rPr>
          <w:rFonts w:ascii="Times New Roman" w:eastAsia="Times New Roman" w:hAnsi="Times New Roman" w:cs="Times New Roman"/>
        </w:rPr>
        <w:t xml:space="preserve"> revenue and overall reputation. Leadership within the company has demonstrated confidence in this outlook, with recent insider stock purchases signaling a belief in long-term growth. However, no specific approval date for Re-Tain has been announced. The main obstacle is the FDA’s need to complete its review of inspection findings at the manufacturing facility. Until those concerns are resolved, the agency cannot grant final approval.</w:t>
      </w:r>
    </w:p>
    <w:p w14:paraId="089F5444" w14:textId="37101D1D" w:rsidR="00800964" w:rsidRDefault="004D7A43">
      <w:pPr>
        <w:spacing w:before="240" w:after="240"/>
        <w:rPr>
          <w:rFonts w:ascii="Times New Roman" w:eastAsia="Times New Roman" w:hAnsi="Times New Roman" w:cs="Times New Roman"/>
        </w:rPr>
      </w:pPr>
      <w:r>
        <w:rPr>
          <w:rFonts w:ascii="Times New Roman" w:eastAsia="Times New Roman" w:hAnsi="Times New Roman" w:cs="Times New Roman"/>
        </w:rPr>
        <w:t xml:space="preserve">               Toronto-Dominion Bank (TD) was the second-best performer in the index this week, ending Friday up 5.23% compared to the previous week. Early on, TD struggled, especially in its U.S. division, where earnings dropped and higher loan-loss provisions hurt performance. These problems raised concerns about the strength of its U.S. business and past compliance issues. However, the bank gradually turned things around. By mid-2025, TD was showing steady improvement. Its Canadian banking operations stayed solid, and the bank benefited from stable fee income and better cost management. TD also began restructuring parts of its U.S. operations to simplify how it works and improve risk management. These changes helped stabilize results and prepared the bank for a stronger second half of the year. The final quarter of 2025 has been a major turning point. TD reported earnings that beat analyst expectations, supported by strong performance in U.S. retail banking, wealth management, and wholesale banking. Adjusted profits jumped, and the bank kept revenue steady despite a slowing economy. TD has also made progress in using technology to boost efficiency across its business. A major sign of renewed confidence was TD’s decision to raise its dividend, showing that the bank feels financially secure and optimistic about its outlook.</w:t>
      </w:r>
    </w:p>
    <w:p w14:paraId="63705B70" w14:textId="6B67680F" w:rsidR="00800964" w:rsidRDefault="004D7A43">
      <w:pPr>
        <w:spacing w:before="240" w:after="240"/>
        <w:rPr>
          <w:rFonts w:ascii="Times New Roman" w:eastAsia="Times New Roman" w:hAnsi="Times New Roman" w:cs="Times New Roman"/>
        </w:rPr>
      </w:pPr>
      <w:r>
        <w:rPr>
          <w:rFonts w:ascii="Times New Roman" w:eastAsia="Times New Roman" w:hAnsi="Times New Roman" w:cs="Times New Roman"/>
        </w:rPr>
        <w:t xml:space="preserve">              Penn Entertainment (PENN) was the worst performer in the index, closing Friday down 6.87% for the week. As highlighted in earlier reports, the company ended its partnership with ESPN and </w:t>
      </w:r>
      <w:r>
        <w:rPr>
          <w:rFonts w:ascii="Times New Roman" w:eastAsia="Times New Roman" w:hAnsi="Times New Roman" w:cs="Times New Roman"/>
        </w:rPr>
        <w:lastRenderedPageBreak/>
        <w:t xml:space="preserve">rebranded its U.S. sportsbook as </w:t>
      </w:r>
      <w:proofErr w:type="spellStart"/>
      <w:r>
        <w:rPr>
          <w:rFonts w:ascii="Times New Roman" w:eastAsia="Times New Roman" w:hAnsi="Times New Roman" w:cs="Times New Roman"/>
        </w:rPr>
        <w:t>theScore</w:t>
      </w:r>
      <w:proofErr w:type="spellEnd"/>
      <w:r>
        <w:rPr>
          <w:rFonts w:ascii="Times New Roman" w:eastAsia="Times New Roman" w:hAnsi="Times New Roman" w:cs="Times New Roman"/>
        </w:rPr>
        <w:t xml:space="preserve"> Bet, a transition that cost roughly $43 million. PENN views the shift </w:t>
      </w:r>
      <w:proofErr w:type="gramStart"/>
      <w:r>
        <w:rPr>
          <w:rFonts w:ascii="Times New Roman" w:eastAsia="Times New Roman" w:hAnsi="Times New Roman" w:cs="Times New Roman"/>
        </w:rPr>
        <w:t>as a way to</w:t>
      </w:r>
      <w:proofErr w:type="gramEnd"/>
      <w:r>
        <w:rPr>
          <w:rFonts w:ascii="Times New Roman" w:eastAsia="Times New Roman" w:hAnsi="Times New Roman" w:cs="Times New Roman"/>
        </w:rPr>
        <w:t xml:space="preserve"> better focus on its digital and casino operations, moving from costly nationwide marketing campaigns to more targeted strategies. The company is also investing in its brick-and-mortar properties: the opening of a second hotel tower at the M Resort Spa Casino in Las Vegas nearly doubles its room capacity and adds substantial event and conference space, underscoring its continued commitment to its traditional casino and hospitality business. Market reaction has been cautious, and analyst opinions are mixed. Some are concerned about PENN’s debt levels and operating costs, while others are optimistic about </w:t>
      </w:r>
      <w:proofErr w:type="spellStart"/>
      <w:r>
        <w:rPr>
          <w:rFonts w:ascii="Times New Roman" w:eastAsia="Times New Roman" w:hAnsi="Times New Roman" w:cs="Times New Roman"/>
        </w:rPr>
        <w:t>theScore</w:t>
      </w:r>
      <w:proofErr w:type="spellEnd"/>
      <w:r>
        <w:rPr>
          <w:rFonts w:ascii="Times New Roman" w:eastAsia="Times New Roman" w:hAnsi="Times New Roman" w:cs="Times New Roman"/>
        </w:rPr>
        <w:t xml:space="preserve"> Bet and the growth potential from casino expansions. Still, PENN faces a major challenge in the online betting market, which remains dominated by FanDuel and DraftKings; early movers that invested heavily to secure </w:t>
      </w:r>
      <w:proofErr w:type="gramStart"/>
      <w:r>
        <w:rPr>
          <w:rFonts w:ascii="Times New Roman" w:eastAsia="Times New Roman" w:hAnsi="Times New Roman" w:cs="Times New Roman"/>
        </w:rPr>
        <w:t>the majority of</w:t>
      </w:r>
      <w:proofErr w:type="gramEnd"/>
      <w:r>
        <w:rPr>
          <w:rFonts w:ascii="Times New Roman" w:eastAsia="Times New Roman" w:hAnsi="Times New Roman" w:cs="Times New Roman"/>
        </w:rPr>
        <w:t xml:space="preserve"> customers, making it difficult and costly for PENN to gain traction.</w:t>
      </w:r>
    </w:p>
    <w:p w14:paraId="6870D45E" w14:textId="77777777" w:rsidR="00800964" w:rsidRDefault="00000000">
      <w:pPr>
        <w:spacing w:before="240" w:after="240"/>
        <w:ind w:firstLine="720"/>
        <w:rPr>
          <w:rFonts w:ascii="Times New Roman" w:eastAsia="Times New Roman" w:hAnsi="Times New Roman" w:cs="Times New Roman"/>
        </w:rPr>
      </w:pPr>
      <w:r>
        <w:rPr>
          <w:rFonts w:ascii="Times New Roman" w:eastAsia="Times New Roman" w:hAnsi="Times New Roman" w:cs="Times New Roman"/>
        </w:rPr>
        <w:t>IDEXX Laboratories, Inc. (IDXX) was the second worst performer in the index, ending Friday down 5.48% for the week. Nonetheless, the company is a global leader in veterinary diagnostics and continues to perform very well. The company has strong revenue and profit growth. Its Companion Animal business, which focuses on pets, has grown faster than other segments. Sales of new lab instruments are also strong because clinics often upgrade their equipment. The company stands out because of its technology and software. Its Practice Management Software (PMS) helps clinics manage records, appointments, and billing, making it harder for clinics to switch to other providers. Tools like the Vello communication platform help clinics keep clients and run more efficiently. IDEXX has also introduced new products, such as advanced cancer screening tools for dogs and improved laboratory equipment. These innovations make veterinary clinics more likely to use IDEXX products and services. Additionally, IDEXX has improved its efficiency, leading to higher profits. Its international and diversified operations mean that growth is not limited to one area, helping the company stay stable even if some markets face challenges. Overall, the combination of recurring revenue, global reach, innovation, and customer trust has helped IDEXX grow steadily.</w:t>
      </w:r>
      <w:r>
        <w:rPr>
          <w:rFonts w:ascii="Times New Roman" w:eastAsia="Times New Roman" w:hAnsi="Times New Roman" w:cs="Times New Roman"/>
        </w:rPr>
        <w:tab/>
      </w:r>
      <w:r>
        <w:rPr>
          <w:rFonts w:ascii="Times New Roman" w:eastAsia="Times New Roman" w:hAnsi="Times New Roman" w:cs="Times New Roman"/>
        </w:rPr>
        <w:tab/>
      </w:r>
    </w:p>
    <w:p w14:paraId="4B8FFD94" w14:textId="77777777" w:rsidR="00800964" w:rsidRDefault="00800964">
      <w:pPr>
        <w:rPr>
          <w:rFonts w:ascii="Times New Roman" w:eastAsia="Times New Roman" w:hAnsi="Times New Roman" w:cs="Times New Roman"/>
        </w:rPr>
      </w:pPr>
    </w:p>
    <w:p w14:paraId="6DFFF207" w14:textId="77777777" w:rsidR="00800964" w:rsidRDefault="00800964">
      <w:pPr>
        <w:rPr>
          <w:rFonts w:ascii="Times New Roman" w:eastAsia="Times New Roman" w:hAnsi="Times New Roman" w:cs="Times New Roman"/>
        </w:rPr>
      </w:pPr>
    </w:p>
    <w:p w14:paraId="0EF4D987" w14:textId="77777777" w:rsidR="00800964" w:rsidRDefault="00800964">
      <w:pPr>
        <w:rPr>
          <w:rFonts w:ascii="Times New Roman" w:eastAsia="Times New Roman" w:hAnsi="Times New Roman" w:cs="Times New Roman"/>
        </w:rPr>
      </w:pPr>
    </w:p>
    <w:p w14:paraId="6249C192" w14:textId="77777777" w:rsidR="00800964" w:rsidRDefault="00800964">
      <w:pPr>
        <w:rPr>
          <w:rFonts w:ascii="Times New Roman" w:eastAsia="Times New Roman" w:hAnsi="Times New Roman" w:cs="Times New Roman"/>
        </w:rPr>
      </w:pPr>
    </w:p>
    <w:p w14:paraId="4293DA5A" w14:textId="77777777" w:rsidR="00800964" w:rsidRDefault="00800964">
      <w:pPr>
        <w:rPr>
          <w:rFonts w:ascii="Times New Roman" w:eastAsia="Times New Roman" w:hAnsi="Times New Roman" w:cs="Times New Roman"/>
        </w:rPr>
      </w:pPr>
    </w:p>
    <w:p w14:paraId="3D2C8025" w14:textId="77777777" w:rsidR="00800964" w:rsidRDefault="00800964">
      <w:pPr>
        <w:rPr>
          <w:rFonts w:ascii="Times New Roman" w:eastAsia="Times New Roman" w:hAnsi="Times New Roman" w:cs="Times New Roman"/>
        </w:rPr>
      </w:pPr>
    </w:p>
    <w:p w14:paraId="6F3CCFEC" w14:textId="77777777" w:rsidR="00800964" w:rsidRDefault="00800964">
      <w:pPr>
        <w:rPr>
          <w:rFonts w:ascii="Times New Roman" w:eastAsia="Times New Roman" w:hAnsi="Times New Roman" w:cs="Times New Roman"/>
        </w:rPr>
      </w:pPr>
    </w:p>
    <w:p w14:paraId="0B0191B1" w14:textId="77777777" w:rsidR="00800964" w:rsidRDefault="00800964">
      <w:pPr>
        <w:rPr>
          <w:rFonts w:ascii="Times New Roman" w:eastAsia="Times New Roman" w:hAnsi="Times New Roman" w:cs="Times New Roman"/>
        </w:rPr>
      </w:pPr>
    </w:p>
    <w:p w14:paraId="563ED7A4" w14:textId="77777777" w:rsidR="00800964" w:rsidRDefault="00800964">
      <w:pPr>
        <w:rPr>
          <w:rFonts w:ascii="Times New Roman" w:eastAsia="Times New Roman" w:hAnsi="Times New Roman" w:cs="Times New Roman"/>
        </w:rPr>
      </w:pPr>
    </w:p>
    <w:p w14:paraId="43E38C17" w14:textId="77777777" w:rsidR="00800964" w:rsidRDefault="00800964">
      <w:pPr>
        <w:rPr>
          <w:rFonts w:ascii="Times New Roman" w:eastAsia="Times New Roman" w:hAnsi="Times New Roman" w:cs="Times New Roman"/>
        </w:rPr>
      </w:pPr>
    </w:p>
    <w:p w14:paraId="0B821C36" w14:textId="77777777" w:rsidR="00800964" w:rsidRDefault="00800964">
      <w:pPr>
        <w:rPr>
          <w:rFonts w:ascii="Times New Roman" w:eastAsia="Times New Roman" w:hAnsi="Times New Roman" w:cs="Times New Roman"/>
        </w:rPr>
      </w:pPr>
    </w:p>
    <w:p w14:paraId="1980EC88" w14:textId="77777777" w:rsidR="00800964" w:rsidRDefault="00800964">
      <w:pPr>
        <w:rPr>
          <w:rFonts w:ascii="Times New Roman" w:eastAsia="Times New Roman" w:hAnsi="Times New Roman" w:cs="Times New Roman"/>
        </w:rPr>
      </w:pPr>
    </w:p>
    <w:p w14:paraId="01FED7A1" w14:textId="77777777" w:rsidR="00800964" w:rsidRDefault="00800964">
      <w:pPr>
        <w:rPr>
          <w:rFonts w:ascii="Times New Roman" w:eastAsia="Times New Roman" w:hAnsi="Times New Roman" w:cs="Times New Roman"/>
        </w:rPr>
      </w:pPr>
    </w:p>
    <w:p w14:paraId="28A2F423" w14:textId="77777777" w:rsidR="00800964" w:rsidRDefault="00800964">
      <w:pPr>
        <w:rPr>
          <w:rFonts w:ascii="Times New Roman" w:eastAsia="Times New Roman" w:hAnsi="Times New Roman" w:cs="Times New Roman"/>
        </w:rPr>
      </w:pPr>
    </w:p>
    <w:p w14:paraId="0E7CA27C" w14:textId="77777777" w:rsidR="00800964" w:rsidRDefault="00800964">
      <w:pPr>
        <w:rPr>
          <w:rFonts w:ascii="Times New Roman" w:eastAsia="Times New Roman" w:hAnsi="Times New Roman" w:cs="Times New Roman"/>
        </w:rPr>
      </w:pPr>
    </w:p>
    <w:p w14:paraId="5E722944" w14:textId="77777777" w:rsidR="00800964" w:rsidRDefault="00800964">
      <w:pPr>
        <w:rPr>
          <w:rFonts w:ascii="Times New Roman" w:eastAsia="Times New Roman" w:hAnsi="Times New Roman" w:cs="Times New Roman"/>
        </w:rPr>
      </w:pPr>
    </w:p>
    <w:p w14:paraId="5CA5F4B6" w14:textId="77777777" w:rsidR="00800964" w:rsidRDefault="00800964">
      <w:pPr>
        <w:rPr>
          <w:rFonts w:ascii="Times New Roman" w:eastAsia="Times New Roman" w:hAnsi="Times New Roman" w:cs="Times New Roman"/>
        </w:rPr>
      </w:pPr>
    </w:p>
    <w:p w14:paraId="65A9D03E" w14:textId="77777777" w:rsidR="00800964" w:rsidRDefault="00800964">
      <w:pPr>
        <w:rPr>
          <w:rFonts w:ascii="Times New Roman" w:eastAsia="Times New Roman" w:hAnsi="Times New Roman" w:cs="Times New Roman"/>
        </w:rPr>
      </w:pPr>
    </w:p>
    <w:p w14:paraId="3EA6CA77" w14:textId="77777777" w:rsidR="00800964"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Overview</w:t>
      </w:r>
    </w:p>
    <w:p w14:paraId="1FB21F4F" w14:textId="77777777" w:rsidR="00800964" w:rsidRDefault="00800964">
      <w:pPr>
        <w:rPr>
          <w:rFonts w:ascii="Times New Roman" w:eastAsia="Times New Roman" w:hAnsi="Times New Roman" w:cs="Times New Roman"/>
          <w:b/>
          <w:bCs/>
        </w:rPr>
      </w:pPr>
    </w:p>
    <w:p w14:paraId="0F67D8A4" w14:textId="77777777" w:rsidR="00800964" w:rsidRDefault="00000000">
      <w:pPr>
        <w:ind w:firstLine="720"/>
        <w:rPr>
          <w:rFonts w:ascii="Times New Roman" w:eastAsia="Times New Roman" w:hAnsi="Times New Roman" w:cs="Times New Roman"/>
        </w:rPr>
      </w:pPr>
      <w:r>
        <w:rPr>
          <w:rFonts w:ascii="Times New Roman" w:eastAsia="Times New Roman" w:hAnsi="Times New Roman" w:cs="Times New Roman"/>
        </w:rPr>
        <w:t>The HSI was developed by Marie Kenney, while a student at Husson University, in</w:t>
      </w:r>
    </w:p>
    <w:p w14:paraId="1DEED53C" w14:textId="77777777" w:rsidR="00800964" w:rsidRDefault="00000000">
      <w:pPr>
        <w:rPr>
          <w:rFonts w:ascii="Times New Roman" w:eastAsia="Times New Roman" w:hAnsi="Times New Roman" w:cs="Times New Roman"/>
        </w:rPr>
      </w:pPr>
      <w:r>
        <w:rPr>
          <w:rFonts w:ascii="Times New Roman" w:eastAsia="Times New Roman" w:hAnsi="Times New Roman" w:cs="Times New Roman"/>
        </w:rPr>
        <w:t>consultation with Associate Professor J. Douglas Wellington. The index is currently being</w:t>
      </w:r>
    </w:p>
    <w:p w14:paraId="6E77277A" w14:textId="77777777" w:rsidR="00800964" w:rsidRDefault="00000000">
      <w:pPr>
        <w:rPr>
          <w:rFonts w:ascii="Times New Roman" w:eastAsia="Times New Roman" w:hAnsi="Times New Roman" w:cs="Times New Roman"/>
        </w:rPr>
      </w:pPr>
      <w:r>
        <w:rPr>
          <w:rFonts w:ascii="Times New Roman" w:eastAsia="Times New Roman" w:hAnsi="Times New Roman" w:cs="Times New Roman"/>
        </w:rPr>
        <w:t xml:space="preserve">tracked and analyzed by Husson students Ray </w:t>
      </w:r>
      <w:proofErr w:type="spellStart"/>
      <w:r>
        <w:rPr>
          <w:rFonts w:ascii="Times New Roman" w:eastAsia="Times New Roman" w:hAnsi="Times New Roman" w:cs="Times New Roman"/>
        </w:rPr>
        <w:t>Intwari</w:t>
      </w:r>
      <w:proofErr w:type="spellEnd"/>
      <w:r>
        <w:rPr>
          <w:rFonts w:ascii="Times New Roman" w:eastAsia="Times New Roman" w:hAnsi="Times New Roman" w:cs="Times New Roman"/>
        </w:rPr>
        <w:t xml:space="preserve"> and Hugh Jack under the supervision of the Associate Professor of Finance, Dr. Jia Liu. The HSI currently tracks and analyzes the stocks of 24 companies that are considered to affect the Maine economy. These companies are either based in Maine or have an influence on the Maine economy through employment or consumer spending. This price-weighted index offers a numerical breakdown of Maine’s economy. The analysis investigates the events of the week and finds the likely reasons the index went up or down. This index and analysis help provide a better understanding of Maine’s economy as well as explain significant changes in stock prices of the companies that comprise the HSI.</w:t>
      </w:r>
    </w:p>
    <w:p w14:paraId="6C325480" w14:textId="77777777" w:rsidR="00800964" w:rsidRDefault="00800964">
      <w:pPr>
        <w:rPr>
          <w:rFonts w:ascii="Times New Roman" w:eastAsia="Times New Roman" w:hAnsi="Times New Roman" w:cs="Times New Roman"/>
        </w:rPr>
      </w:pPr>
    </w:p>
    <w:p w14:paraId="61E0A2F7" w14:textId="77777777" w:rsidR="00800964"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01D8D04D" w14:textId="77777777" w:rsidR="00800964"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References:</w:t>
      </w:r>
    </w:p>
    <w:p w14:paraId="75BBC308" w14:textId="77777777" w:rsidR="00800964" w:rsidRDefault="00800964">
      <w:pPr>
        <w:jc w:val="center"/>
        <w:rPr>
          <w:rFonts w:ascii="Times New Roman" w:eastAsia="Times New Roman" w:hAnsi="Times New Roman" w:cs="Times New Roman"/>
          <w:b/>
          <w:bCs/>
        </w:rPr>
      </w:pPr>
    </w:p>
    <w:p w14:paraId="3F35F86E" w14:textId="77777777" w:rsidR="0080096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Urbashi, D. (2025, December 4). </w:t>
      </w:r>
      <w:proofErr w:type="spellStart"/>
      <w:r>
        <w:rPr>
          <w:rFonts w:ascii="Times New Roman" w:eastAsia="Times New Roman" w:hAnsi="Times New Roman" w:cs="Times New Roman"/>
          <w:i/>
          <w:iCs/>
          <w:sz w:val="24"/>
          <w:szCs w:val="24"/>
        </w:rPr>
        <w:t>ImmuCell’s</w:t>
      </w:r>
      <w:proofErr w:type="spellEnd"/>
      <w:r>
        <w:rPr>
          <w:rFonts w:ascii="Times New Roman" w:eastAsia="Times New Roman" w:hAnsi="Times New Roman" w:cs="Times New Roman"/>
          <w:i/>
          <w:iCs/>
          <w:sz w:val="24"/>
          <w:szCs w:val="24"/>
        </w:rPr>
        <w:t xml:space="preserve"> two-product edge in cattle health fuels growth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WV News</w:t>
      </w:r>
      <w:r>
        <w:rPr>
          <w:rFonts w:ascii="Times New Roman" w:eastAsia="Times New Roman" w:hAnsi="Times New Roman" w:cs="Times New Roman"/>
          <w:sz w:val="24"/>
          <w:szCs w:val="24"/>
        </w:rPr>
        <w:t>.</w:t>
      </w:r>
      <w:hyperlink r:id="rId5">
        <w:r w:rsidR="00800964">
          <w:rPr>
            <w:rFonts w:ascii="Times New Roman" w:eastAsia="Times New Roman" w:hAnsi="Times New Roman" w:cs="Times New Roman"/>
            <w:sz w:val="24"/>
            <w:szCs w:val="24"/>
          </w:rPr>
          <w:t xml:space="preserve"> </w:t>
        </w:r>
      </w:hyperlink>
      <w:hyperlink r:id="rId6">
        <w:r w:rsidR="00800964">
          <w:rPr>
            <w:rFonts w:ascii="Times New Roman" w:eastAsia="Times New Roman" w:hAnsi="Times New Roman" w:cs="Times New Roman"/>
            <w:color w:val="1155CC"/>
            <w:sz w:val="24"/>
            <w:szCs w:val="24"/>
            <w:u w:val="single"/>
          </w:rPr>
          <w:t>https://www.wvnews.com/news/around_the_web/collegefootballwarehouse/immucells-two-product-edge-in-cattle-health-fuels-growth/article</w:t>
        </w:r>
      </w:hyperlink>
    </w:p>
    <w:p w14:paraId="14885B5F" w14:textId="77777777" w:rsidR="00800964" w:rsidRDefault="00800964">
      <w:pPr>
        <w:rPr>
          <w:rFonts w:ascii="Times New Roman" w:eastAsia="Times New Roman" w:hAnsi="Times New Roman" w:cs="Times New Roman"/>
          <w:sz w:val="24"/>
          <w:szCs w:val="24"/>
        </w:rPr>
      </w:pPr>
    </w:p>
    <w:p w14:paraId="4E2602F5" w14:textId="77777777" w:rsidR="0080096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Wall Street Journal. (2025, December 4). </w:t>
      </w:r>
      <w:r>
        <w:rPr>
          <w:rFonts w:ascii="Times New Roman" w:eastAsia="Times New Roman" w:hAnsi="Times New Roman" w:cs="Times New Roman"/>
          <w:i/>
          <w:iCs/>
          <w:sz w:val="24"/>
          <w:szCs w:val="24"/>
        </w:rPr>
        <w:t>TD Bank pushes up dividend after underlying earnings, revenue beat expectations.</w:t>
      </w:r>
      <w:hyperlink r:id="rId7">
        <w:r w:rsidR="00800964">
          <w:rPr>
            <w:rFonts w:ascii="Times New Roman" w:eastAsia="Times New Roman" w:hAnsi="Times New Roman" w:cs="Times New Roman"/>
            <w:sz w:val="24"/>
            <w:szCs w:val="24"/>
          </w:rPr>
          <w:t xml:space="preserve"> </w:t>
        </w:r>
      </w:hyperlink>
      <w:hyperlink r:id="rId8">
        <w:r w:rsidR="00800964">
          <w:rPr>
            <w:rFonts w:ascii="Times New Roman" w:eastAsia="Times New Roman" w:hAnsi="Times New Roman" w:cs="Times New Roman"/>
            <w:color w:val="1155CC"/>
            <w:sz w:val="24"/>
            <w:szCs w:val="24"/>
            <w:u w:val="single"/>
          </w:rPr>
          <w:t>https://www.wsj.com/business/earnings/td-bank-pushes-up-dividend-after-underlying-earnings-revenue-beat-expectations</w:t>
        </w:r>
      </w:hyperlink>
    </w:p>
    <w:p w14:paraId="234C5ABB" w14:textId="77777777" w:rsidR="00800964" w:rsidRDefault="00800964">
      <w:pPr>
        <w:rPr>
          <w:rFonts w:ascii="Times New Roman" w:eastAsia="Times New Roman" w:hAnsi="Times New Roman" w:cs="Times New Roman"/>
          <w:sz w:val="24"/>
          <w:szCs w:val="24"/>
        </w:rPr>
      </w:pPr>
    </w:p>
    <w:p w14:paraId="434176B9" w14:textId="77777777" w:rsidR="0080096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Yahoo Finance. (2025, December 4). </w:t>
      </w:r>
      <w:r>
        <w:rPr>
          <w:rFonts w:ascii="Times New Roman" w:eastAsia="Times New Roman" w:hAnsi="Times New Roman" w:cs="Times New Roman"/>
          <w:i/>
          <w:iCs/>
          <w:sz w:val="24"/>
          <w:szCs w:val="24"/>
        </w:rPr>
        <w:t xml:space="preserve">Toronto-Dominion Bank (TD) Q4 2025 earnings call highlights — </w:t>
      </w:r>
      <w:hyperlink r:id="rId9">
        <w:r w:rsidR="00800964">
          <w:rPr>
            <w:rFonts w:ascii="Times New Roman" w:eastAsia="Times New Roman" w:hAnsi="Times New Roman" w:cs="Times New Roman"/>
            <w:color w:val="1155CC"/>
            <w:sz w:val="24"/>
            <w:szCs w:val="24"/>
            <w:u w:val="single"/>
          </w:rPr>
          <w:t>https://finance.yahoo.com/news/toronto-dominion-bank-td-q4-230112007.html</w:t>
        </w:r>
      </w:hyperlink>
    </w:p>
    <w:p w14:paraId="4174794A" w14:textId="77777777" w:rsidR="00800964" w:rsidRDefault="00800964">
      <w:pPr>
        <w:rPr>
          <w:rFonts w:ascii="Times New Roman" w:eastAsia="Times New Roman" w:hAnsi="Times New Roman" w:cs="Times New Roman"/>
          <w:sz w:val="24"/>
          <w:szCs w:val="24"/>
        </w:rPr>
      </w:pPr>
    </w:p>
    <w:p w14:paraId="2C5DDCCF" w14:textId="77777777" w:rsidR="0080096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CDC Gaming. (2025). </w:t>
      </w:r>
      <w:r>
        <w:rPr>
          <w:rFonts w:ascii="Times New Roman" w:eastAsia="Times New Roman" w:hAnsi="Times New Roman" w:cs="Times New Roman"/>
          <w:i/>
          <w:iCs/>
          <w:sz w:val="24"/>
          <w:szCs w:val="24"/>
        </w:rPr>
        <w:t>Penn Entertainment unveils Las Vegas expansion project.</w:t>
      </w:r>
      <w:r>
        <w:rPr>
          <w:rFonts w:ascii="Times New Roman" w:eastAsia="Times New Roman" w:hAnsi="Times New Roman" w:cs="Times New Roman"/>
          <w:sz w:val="24"/>
          <w:szCs w:val="24"/>
        </w:rPr>
        <w:t xml:space="preserve"> CDC Gaming.</w:t>
      </w:r>
      <w:hyperlink r:id="rId10">
        <w:r w:rsidR="00800964">
          <w:rPr>
            <w:rFonts w:ascii="Times New Roman" w:eastAsia="Times New Roman" w:hAnsi="Times New Roman" w:cs="Times New Roman"/>
            <w:sz w:val="24"/>
            <w:szCs w:val="24"/>
          </w:rPr>
          <w:t xml:space="preserve"> </w:t>
        </w:r>
      </w:hyperlink>
      <w:hyperlink r:id="rId11">
        <w:r w:rsidR="00800964">
          <w:rPr>
            <w:rFonts w:ascii="Times New Roman" w:eastAsia="Times New Roman" w:hAnsi="Times New Roman" w:cs="Times New Roman"/>
            <w:color w:val="1155CC"/>
            <w:sz w:val="24"/>
            <w:szCs w:val="24"/>
            <w:u w:val="single"/>
          </w:rPr>
          <w:t>https://cdcgaming.com/penn-entertainment-unveils-las-vegas-expansion-project/</w:t>
        </w:r>
      </w:hyperlink>
    </w:p>
    <w:p w14:paraId="27ECAB45" w14:textId="77777777" w:rsidR="00800964" w:rsidRDefault="00800964">
      <w:pPr>
        <w:rPr>
          <w:rFonts w:ascii="Times New Roman" w:eastAsia="Times New Roman" w:hAnsi="Times New Roman" w:cs="Times New Roman"/>
          <w:sz w:val="24"/>
          <w:szCs w:val="24"/>
        </w:rPr>
      </w:pPr>
    </w:p>
    <w:p w14:paraId="3D734724" w14:textId="77777777" w:rsidR="0080096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Simply Wall St. (2025, December 06). </w:t>
      </w:r>
      <w:r>
        <w:rPr>
          <w:rFonts w:ascii="Times New Roman" w:eastAsia="Times New Roman" w:hAnsi="Times New Roman" w:cs="Times New Roman"/>
          <w:i/>
          <w:iCs/>
          <w:sz w:val="24"/>
          <w:szCs w:val="24"/>
        </w:rPr>
        <w:t>Assessing IDEXX Laboratories (IDXX) valuation after its strong year-to-date share price surge.</w:t>
      </w:r>
      <w:hyperlink r:id="rId12">
        <w:r w:rsidR="00800964">
          <w:rPr>
            <w:rFonts w:ascii="Times New Roman" w:eastAsia="Times New Roman" w:hAnsi="Times New Roman" w:cs="Times New Roman"/>
            <w:sz w:val="24"/>
            <w:szCs w:val="24"/>
          </w:rPr>
          <w:t xml:space="preserve"> </w:t>
        </w:r>
      </w:hyperlink>
      <w:hyperlink r:id="rId13">
        <w:r w:rsidR="00800964">
          <w:rPr>
            <w:rFonts w:ascii="Times New Roman" w:eastAsia="Times New Roman" w:hAnsi="Times New Roman" w:cs="Times New Roman"/>
            <w:color w:val="1155CC"/>
            <w:sz w:val="24"/>
            <w:szCs w:val="24"/>
            <w:u w:val="single"/>
          </w:rPr>
          <w:t>https://simplywall.st/stocks/us/healthcare/nasdaq-idxx/idexx-laboratories/news/assessing-idexx-laboratories-idxx-valuation-after-its-strong/amp</w:t>
        </w:r>
      </w:hyperlink>
    </w:p>
    <w:p w14:paraId="0A7CF816" w14:textId="77777777" w:rsidR="00800964" w:rsidRDefault="00800964">
      <w:pPr>
        <w:rPr>
          <w:rFonts w:ascii="Times New Roman" w:eastAsia="Times New Roman" w:hAnsi="Times New Roman" w:cs="Times New Roman"/>
        </w:rPr>
      </w:pPr>
    </w:p>
    <w:p w14:paraId="77462CD2" w14:textId="77777777" w:rsidR="00800964" w:rsidRDefault="00800964">
      <w:pPr>
        <w:rPr>
          <w:rFonts w:ascii="Times New Roman" w:eastAsia="Times New Roman" w:hAnsi="Times New Roman" w:cs="Times New Roman"/>
        </w:rPr>
      </w:pPr>
    </w:p>
    <w:p w14:paraId="5A326368" w14:textId="77777777" w:rsidR="00800964" w:rsidRDefault="00800964">
      <w:pPr>
        <w:rPr>
          <w:rFonts w:ascii="Times New Roman" w:eastAsia="Times New Roman" w:hAnsi="Times New Roman" w:cs="Times New Roman"/>
        </w:rPr>
      </w:pPr>
    </w:p>
    <w:p w14:paraId="5A1C7501" w14:textId="77777777" w:rsidR="00800964"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Composition of Husson Stock Index (HSI)</w:t>
      </w:r>
    </w:p>
    <w:tbl>
      <w:tblPr>
        <w:tblStyle w:val="a1"/>
        <w:tblW w:w="9360" w:type="dxa"/>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800964" w14:paraId="10C7E83E" w14:textId="77777777">
        <w:tc>
          <w:tcPr>
            <w:tcW w:w="2340" w:type="dxa"/>
            <w:tcMar>
              <w:top w:w="100" w:type="dxa"/>
              <w:left w:w="100" w:type="dxa"/>
              <w:bottom w:w="100" w:type="dxa"/>
              <w:right w:w="100" w:type="dxa"/>
            </w:tcMar>
          </w:tcPr>
          <w:p w14:paraId="10C19A9B"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Ticker symbol: Exchange</w:t>
            </w:r>
          </w:p>
        </w:tc>
        <w:tc>
          <w:tcPr>
            <w:tcW w:w="2340" w:type="dxa"/>
            <w:tcMar>
              <w:top w:w="100" w:type="dxa"/>
              <w:left w:w="100" w:type="dxa"/>
              <w:bottom w:w="100" w:type="dxa"/>
              <w:right w:w="100" w:type="dxa"/>
            </w:tcMar>
          </w:tcPr>
          <w:p w14:paraId="6E54EDB8"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Stock </w:t>
            </w:r>
          </w:p>
        </w:tc>
        <w:tc>
          <w:tcPr>
            <w:tcW w:w="2340" w:type="dxa"/>
            <w:tcMar>
              <w:top w:w="100" w:type="dxa"/>
              <w:left w:w="100" w:type="dxa"/>
              <w:bottom w:w="100" w:type="dxa"/>
              <w:right w:w="100" w:type="dxa"/>
            </w:tcMar>
          </w:tcPr>
          <w:p w14:paraId="4B309BA3"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 Affiliation</w:t>
            </w:r>
          </w:p>
        </w:tc>
        <w:tc>
          <w:tcPr>
            <w:tcW w:w="2340" w:type="dxa"/>
            <w:tcMar>
              <w:top w:w="100" w:type="dxa"/>
              <w:left w:w="100" w:type="dxa"/>
              <w:bottom w:w="100" w:type="dxa"/>
              <w:right w:w="100" w:type="dxa"/>
            </w:tcMar>
          </w:tcPr>
          <w:p w14:paraId="22CF965B"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Sector</w:t>
            </w:r>
          </w:p>
        </w:tc>
      </w:tr>
      <w:tr w:rsidR="00800964" w14:paraId="459D103B" w14:textId="77777777">
        <w:tc>
          <w:tcPr>
            <w:tcW w:w="2340" w:type="dxa"/>
            <w:tcMar>
              <w:top w:w="100" w:type="dxa"/>
              <w:left w:w="100" w:type="dxa"/>
              <w:bottom w:w="100" w:type="dxa"/>
              <w:right w:w="100" w:type="dxa"/>
            </w:tcMar>
          </w:tcPr>
          <w:p w14:paraId="60255B6D"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BAC: NYSE</w:t>
            </w:r>
          </w:p>
        </w:tc>
        <w:tc>
          <w:tcPr>
            <w:tcW w:w="2340" w:type="dxa"/>
            <w:tcMar>
              <w:top w:w="100" w:type="dxa"/>
              <w:left w:w="100" w:type="dxa"/>
              <w:bottom w:w="100" w:type="dxa"/>
              <w:right w:w="100" w:type="dxa"/>
            </w:tcMar>
          </w:tcPr>
          <w:p w14:paraId="14315AB0"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Bank of </w:t>
            </w:r>
            <w:proofErr w:type="spellStart"/>
            <w:r>
              <w:rPr>
                <w:rFonts w:ascii="Times New Roman" w:eastAsia="Times New Roman" w:hAnsi="Times New Roman" w:cs="Times New Roman"/>
              </w:rPr>
              <w:t>american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corp</w:t>
            </w:r>
            <w:proofErr w:type="spellEnd"/>
          </w:p>
        </w:tc>
        <w:tc>
          <w:tcPr>
            <w:tcW w:w="2340" w:type="dxa"/>
            <w:tcMar>
              <w:top w:w="100" w:type="dxa"/>
              <w:left w:w="100" w:type="dxa"/>
              <w:bottom w:w="100" w:type="dxa"/>
              <w:right w:w="100" w:type="dxa"/>
            </w:tcMar>
          </w:tcPr>
          <w:p w14:paraId="4470CF9B"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36D93398"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800964" w14:paraId="536FF2A4" w14:textId="77777777">
        <w:tc>
          <w:tcPr>
            <w:tcW w:w="2340" w:type="dxa"/>
            <w:tcMar>
              <w:top w:w="100" w:type="dxa"/>
              <w:left w:w="100" w:type="dxa"/>
              <w:bottom w:w="100" w:type="dxa"/>
              <w:right w:w="100" w:type="dxa"/>
            </w:tcMar>
          </w:tcPr>
          <w:p w14:paraId="3584823F"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BHB: NYSE</w:t>
            </w:r>
          </w:p>
        </w:tc>
        <w:tc>
          <w:tcPr>
            <w:tcW w:w="2340" w:type="dxa"/>
            <w:tcMar>
              <w:top w:w="100" w:type="dxa"/>
              <w:left w:w="100" w:type="dxa"/>
              <w:bottom w:w="100" w:type="dxa"/>
              <w:right w:w="100" w:type="dxa"/>
            </w:tcMar>
          </w:tcPr>
          <w:p w14:paraId="37858A6C"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Bar Harbor Bank</w:t>
            </w:r>
          </w:p>
        </w:tc>
        <w:tc>
          <w:tcPr>
            <w:tcW w:w="2340" w:type="dxa"/>
            <w:tcMar>
              <w:top w:w="100" w:type="dxa"/>
              <w:left w:w="100" w:type="dxa"/>
              <w:bottom w:w="100" w:type="dxa"/>
              <w:right w:w="100" w:type="dxa"/>
            </w:tcMar>
          </w:tcPr>
          <w:p w14:paraId="191C1B6B"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6654849A"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800964" w14:paraId="673E6609" w14:textId="77777777">
        <w:tc>
          <w:tcPr>
            <w:tcW w:w="2340" w:type="dxa"/>
            <w:tcMar>
              <w:top w:w="100" w:type="dxa"/>
              <w:left w:w="100" w:type="dxa"/>
              <w:bottom w:w="100" w:type="dxa"/>
              <w:right w:w="100" w:type="dxa"/>
            </w:tcMar>
          </w:tcPr>
          <w:p w14:paraId="08BC7099"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CAC: NASDAQ</w:t>
            </w:r>
          </w:p>
        </w:tc>
        <w:tc>
          <w:tcPr>
            <w:tcW w:w="2340" w:type="dxa"/>
            <w:tcMar>
              <w:top w:w="100" w:type="dxa"/>
              <w:left w:w="100" w:type="dxa"/>
              <w:bottom w:w="100" w:type="dxa"/>
              <w:right w:w="100" w:type="dxa"/>
            </w:tcMar>
          </w:tcPr>
          <w:p w14:paraId="40384A17"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Camden National Corporation</w:t>
            </w:r>
          </w:p>
        </w:tc>
        <w:tc>
          <w:tcPr>
            <w:tcW w:w="2340" w:type="dxa"/>
            <w:tcMar>
              <w:top w:w="100" w:type="dxa"/>
              <w:left w:w="100" w:type="dxa"/>
              <w:bottom w:w="100" w:type="dxa"/>
              <w:right w:w="100" w:type="dxa"/>
            </w:tcMar>
          </w:tcPr>
          <w:p w14:paraId="4A7F2A26"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0B80CCD3"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800964" w14:paraId="7B51EBA8" w14:textId="77777777">
        <w:tc>
          <w:tcPr>
            <w:tcW w:w="2340" w:type="dxa"/>
            <w:tcMar>
              <w:top w:w="100" w:type="dxa"/>
              <w:left w:w="100" w:type="dxa"/>
              <w:bottom w:w="100" w:type="dxa"/>
              <w:right w:w="100" w:type="dxa"/>
            </w:tcMar>
          </w:tcPr>
          <w:p w14:paraId="5FDD47A0"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CHRT: NASDAQ</w:t>
            </w:r>
          </w:p>
        </w:tc>
        <w:tc>
          <w:tcPr>
            <w:tcW w:w="2340" w:type="dxa"/>
            <w:tcMar>
              <w:top w:w="100" w:type="dxa"/>
              <w:left w:w="100" w:type="dxa"/>
              <w:bottom w:w="100" w:type="dxa"/>
              <w:right w:w="100" w:type="dxa"/>
            </w:tcMar>
          </w:tcPr>
          <w:p w14:paraId="4711B598"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Charter Communications, Inc.</w:t>
            </w:r>
          </w:p>
        </w:tc>
        <w:tc>
          <w:tcPr>
            <w:tcW w:w="2340" w:type="dxa"/>
            <w:tcMar>
              <w:top w:w="100" w:type="dxa"/>
              <w:left w:w="100" w:type="dxa"/>
              <w:bottom w:w="100" w:type="dxa"/>
              <w:right w:w="100" w:type="dxa"/>
            </w:tcMar>
          </w:tcPr>
          <w:p w14:paraId="0D705459"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2960A2CA"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Communication Services</w:t>
            </w:r>
          </w:p>
        </w:tc>
      </w:tr>
      <w:tr w:rsidR="00800964" w14:paraId="6C028CE9" w14:textId="77777777">
        <w:tc>
          <w:tcPr>
            <w:tcW w:w="2340" w:type="dxa"/>
            <w:tcMar>
              <w:top w:w="100" w:type="dxa"/>
              <w:left w:w="100" w:type="dxa"/>
              <w:bottom w:w="100" w:type="dxa"/>
              <w:right w:w="100" w:type="dxa"/>
            </w:tcMar>
          </w:tcPr>
          <w:p w14:paraId="10CA88CA"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CL: NYSE</w:t>
            </w:r>
          </w:p>
        </w:tc>
        <w:tc>
          <w:tcPr>
            <w:tcW w:w="2340" w:type="dxa"/>
            <w:tcMar>
              <w:top w:w="100" w:type="dxa"/>
              <w:left w:w="100" w:type="dxa"/>
              <w:bottom w:w="100" w:type="dxa"/>
              <w:right w:w="100" w:type="dxa"/>
            </w:tcMar>
          </w:tcPr>
          <w:p w14:paraId="44EE717E" w14:textId="77777777" w:rsidR="00800964" w:rsidRDefault="00000000">
            <w:pPr>
              <w:widowControl w:val="0"/>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Colgate-palmolive</w:t>
            </w:r>
            <w:proofErr w:type="spellEnd"/>
            <w:r>
              <w:rPr>
                <w:rFonts w:ascii="Times New Roman" w:eastAsia="Times New Roman" w:hAnsi="Times New Roman" w:cs="Times New Roman"/>
              </w:rPr>
              <w:t xml:space="preserve"> Company</w:t>
            </w:r>
          </w:p>
        </w:tc>
        <w:tc>
          <w:tcPr>
            <w:tcW w:w="2340" w:type="dxa"/>
            <w:tcMar>
              <w:top w:w="100" w:type="dxa"/>
              <w:left w:w="100" w:type="dxa"/>
              <w:bottom w:w="100" w:type="dxa"/>
              <w:right w:w="100" w:type="dxa"/>
            </w:tcMar>
          </w:tcPr>
          <w:p w14:paraId="0A84CCE3"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23B4D956"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Consumer Staples</w:t>
            </w:r>
          </w:p>
        </w:tc>
      </w:tr>
      <w:tr w:rsidR="00800964" w14:paraId="5E06E62E" w14:textId="77777777">
        <w:tc>
          <w:tcPr>
            <w:tcW w:w="2340" w:type="dxa"/>
            <w:tcMar>
              <w:top w:w="100" w:type="dxa"/>
              <w:left w:w="100" w:type="dxa"/>
              <w:bottom w:w="100" w:type="dxa"/>
              <w:right w:w="100" w:type="dxa"/>
            </w:tcMar>
          </w:tcPr>
          <w:p w14:paraId="38E4AA3A"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DRI: NYSE</w:t>
            </w:r>
          </w:p>
        </w:tc>
        <w:tc>
          <w:tcPr>
            <w:tcW w:w="2340" w:type="dxa"/>
            <w:tcMar>
              <w:top w:w="100" w:type="dxa"/>
              <w:left w:w="100" w:type="dxa"/>
              <w:bottom w:w="100" w:type="dxa"/>
              <w:right w:w="100" w:type="dxa"/>
            </w:tcMar>
          </w:tcPr>
          <w:p w14:paraId="376335FB"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Darden Restaurants, Inc.</w:t>
            </w:r>
          </w:p>
        </w:tc>
        <w:tc>
          <w:tcPr>
            <w:tcW w:w="2340" w:type="dxa"/>
            <w:tcMar>
              <w:top w:w="100" w:type="dxa"/>
              <w:left w:w="100" w:type="dxa"/>
              <w:bottom w:w="100" w:type="dxa"/>
              <w:right w:w="100" w:type="dxa"/>
            </w:tcMar>
          </w:tcPr>
          <w:p w14:paraId="741ABFE3"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41406246"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800964" w14:paraId="29BF4FBB" w14:textId="77777777">
        <w:tc>
          <w:tcPr>
            <w:tcW w:w="2340" w:type="dxa"/>
            <w:tcMar>
              <w:top w:w="100" w:type="dxa"/>
              <w:left w:w="100" w:type="dxa"/>
              <w:bottom w:w="100" w:type="dxa"/>
              <w:right w:w="100" w:type="dxa"/>
            </w:tcMar>
          </w:tcPr>
          <w:p w14:paraId="49B948E1"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FNLC: NASDAQ</w:t>
            </w:r>
          </w:p>
        </w:tc>
        <w:tc>
          <w:tcPr>
            <w:tcW w:w="2340" w:type="dxa"/>
            <w:tcMar>
              <w:top w:w="100" w:type="dxa"/>
              <w:left w:w="100" w:type="dxa"/>
              <w:bottom w:w="100" w:type="dxa"/>
              <w:right w:w="100" w:type="dxa"/>
            </w:tcMar>
          </w:tcPr>
          <w:p w14:paraId="642DB53B"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The First Bancorp, Inc.</w:t>
            </w:r>
          </w:p>
        </w:tc>
        <w:tc>
          <w:tcPr>
            <w:tcW w:w="2340" w:type="dxa"/>
            <w:tcMar>
              <w:top w:w="100" w:type="dxa"/>
              <w:left w:w="100" w:type="dxa"/>
              <w:bottom w:w="100" w:type="dxa"/>
              <w:right w:w="100" w:type="dxa"/>
            </w:tcMar>
          </w:tcPr>
          <w:p w14:paraId="488E7BF0"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1D35886C"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800964" w14:paraId="6ECC2A19" w14:textId="77777777">
        <w:tc>
          <w:tcPr>
            <w:tcW w:w="2340" w:type="dxa"/>
            <w:tcMar>
              <w:top w:w="100" w:type="dxa"/>
              <w:left w:w="100" w:type="dxa"/>
              <w:bottom w:w="100" w:type="dxa"/>
              <w:right w:w="100" w:type="dxa"/>
            </w:tcMar>
          </w:tcPr>
          <w:p w14:paraId="2B629120"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GD: NYSE</w:t>
            </w:r>
          </w:p>
        </w:tc>
        <w:tc>
          <w:tcPr>
            <w:tcW w:w="2340" w:type="dxa"/>
            <w:tcMar>
              <w:top w:w="100" w:type="dxa"/>
              <w:left w:w="100" w:type="dxa"/>
              <w:bottom w:w="100" w:type="dxa"/>
              <w:right w:w="100" w:type="dxa"/>
            </w:tcMar>
          </w:tcPr>
          <w:p w14:paraId="7F664A71"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General Dynamics Corporation</w:t>
            </w:r>
          </w:p>
        </w:tc>
        <w:tc>
          <w:tcPr>
            <w:tcW w:w="2340" w:type="dxa"/>
            <w:tcMar>
              <w:top w:w="100" w:type="dxa"/>
              <w:left w:w="100" w:type="dxa"/>
              <w:bottom w:w="100" w:type="dxa"/>
              <w:right w:w="100" w:type="dxa"/>
            </w:tcMar>
          </w:tcPr>
          <w:p w14:paraId="1242DEBE"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2A67E515"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800964" w14:paraId="46E50D41" w14:textId="77777777">
        <w:tc>
          <w:tcPr>
            <w:tcW w:w="2340" w:type="dxa"/>
            <w:tcMar>
              <w:top w:w="100" w:type="dxa"/>
              <w:left w:w="100" w:type="dxa"/>
              <w:bottom w:w="100" w:type="dxa"/>
              <w:right w:w="100" w:type="dxa"/>
            </w:tcMar>
          </w:tcPr>
          <w:p w14:paraId="2977E843"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HLT: NYSE</w:t>
            </w:r>
          </w:p>
        </w:tc>
        <w:tc>
          <w:tcPr>
            <w:tcW w:w="2340" w:type="dxa"/>
            <w:tcMar>
              <w:top w:w="100" w:type="dxa"/>
              <w:left w:w="100" w:type="dxa"/>
              <w:bottom w:w="100" w:type="dxa"/>
              <w:right w:w="100" w:type="dxa"/>
            </w:tcMar>
          </w:tcPr>
          <w:p w14:paraId="78160A75"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Hilton Worldwide Holding, Inc.</w:t>
            </w:r>
          </w:p>
        </w:tc>
        <w:tc>
          <w:tcPr>
            <w:tcW w:w="2340" w:type="dxa"/>
            <w:tcMar>
              <w:top w:w="100" w:type="dxa"/>
              <w:left w:w="100" w:type="dxa"/>
              <w:bottom w:w="100" w:type="dxa"/>
              <w:right w:w="100" w:type="dxa"/>
            </w:tcMar>
          </w:tcPr>
          <w:p w14:paraId="009C2C95"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02671032"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800964" w14:paraId="0A888954" w14:textId="77777777">
        <w:tc>
          <w:tcPr>
            <w:tcW w:w="2340" w:type="dxa"/>
            <w:tcMar>
              <w:top w:w="100" w:type="dxa"/>
              <w:left w:w="100" w:type="dxa"/>
              <w:bottom w:w="100" w:type="dxa"/>
              <w:right w:w="100" w:type="dxa"/>
            </w:tcMar>
          </w:tcPr>
          <w:p w14:paraId="5C3A59B4"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HD: NYSE</w:t>
            </w:r>
          </w:p>
        </w:tc>
        <w:tc>
          <w:tcPr>
            <w:tcW w:w="2340" w:type="dxa"/>
            <w:tcMar>
              <w:top w:w="100" w:type="dxa"/>
              <w:left w:w="100" w:type="dxa"/>
              <w:bottom w:w="100" w:type="dxa"/>
              <w:right w:w="100" w:type="dxa"/>
            </w:tcMar>
          </w:tcPr>
          <w:p w14:paraId="45902CE0"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The Home Depot, Inc.</w:t>
            </w:r>
          </w:p>
        </w:tc>
        <w:tc>
          <w:tcPr>
            <w:tcW w:w="2340" w:type="dxa"/>
            <w:tcMar>
              <w:top w:w="100" w:type="dxa"/>
              <w:left w:w="100" w:type="dxa"/>
              <w:bottom w:w="100" w:type="dxa"/>
              <w:right w:w="100" w:type="dxa"/>
            </w:tcMar>
          </w:tcPr>
          <w:p w14:paraId="47166916"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41CA576B"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800964" w14:paraId="57AB60DD" w14:textId="77777777">
        <w:tc>
          <w:tcPr>
            <w:tcW w:w="2340" w:type="dxa"/>
            <w:tcMar>
              <w:top w:w="100" w:type="dxa"/>
              <w:left w:w="100" w:type="dxa"/>
              <w:bottom w:w="100" w:type="dxa"/>
              <w:right w:w="100" w:type="dxa"/>
            </w:tcMar>
          </w:tcPr>
          <w:p w14:paraId="33090CBF"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ICC: NASDAQ</w:t>
            </w:r>
          </w:p>
        </w:tc>
        <w:tc>
          <w:tcPr>
            <w:tcW w:w="2340" w:type="dxa"/>
            <w:tcMar>
              <w:top w:w="100" w:type="dxa"/>
              <w:left w:w="100" w:type="dxa"/>
              <w:bottom w:w="100" w:type="dxa"/>
              <w:right w:w="100" w:type="dxa"/>
            </w:tcMar>
          </w:tcPr>
          <w:p w14:paraId="7D3ABBD2"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ImmuCell Corporation </w:t>
            </w:r>
          </w:p>
        </w:tc>
        <w:tc>
          <w:tcPr>
            <w:tcW w:w="2340" w:type="dxa"/>
            <w:tcMar>
              <w:top w:w="100" w:type="dxa"/>
              <w:left w:w="100" w:type="dxa"/>
              <w:bottom w:w="100" w:type="dxa"/>
              <w:right w:w="100" w:type="dxa"/>
            </w:tcMar>
          </w:tcPr>
          <w:p w14:paraId="51446F95"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4979908E"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Health Care </w:t>
            </w:r>
          </w:p>
        </w:tc>
      </w:tr>
      <w:tr w:rsidR="00800964" w14:paraId="332E4098" w14:textId="77777777">
        <w:tc>
          <w:tcPr>
            <w:tcW w:w="2340" w:type="dxa"/>
            <w:tcMar>
              <w:top w:w="100" w:type="dxa"/>
              <w:left w:w="100" w:type="dxa"/>
              <w:bottom w:w="100" w:type="dxa"/>
              <w:right w:w="100" w:type="dxa"/>
            </w:tcMar>
          </w:tcPr>
          <w:p w14:paraId="64AFF0D9"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IDXX: NASDAQ</w:t>
            </w:r>
          </w:p>
        </w:tc>
        <w:tc>
          <w:tcPr>
            <w:tcW w:w="2340" w:type="dxa"/>
            <w:tcMar>
              <w:top w:w="100" w:type="dxa"/>
              <w:left w:w="100" w:type="dxa"/>
              <w:bottom w:w="100" w:type="dxa"/>
              <w:right w:w="100" w:type="dxa"/>
            </w:tcMar>
          </w:tcPr>
          <w:p w14:paraId="4CB7AA9E"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IDEXX Laboratories, Inc.</w:t>
            </w:r>
          </w:p>
        </w:tc>
        <w:tc>
          <w:tcPr>
            <w:tcW w:w="2340" w:type="dxa"/>
            <w:tcMar>
              <w:top w:w="100" w:type="dxa"/>
              <w:left w:w="100" w:type="dxa"/>
              <w:bottom w:w="100" w:type="dxa"/>
              <w:right w:w="100" w:type="dxa"/>
            </w:tcMar>
          </w:tcPr>
          <w:p w14:paraId="3D195DEB"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1134D724"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Health Care </w:t>
            </w:r>
          </w:p>
        </w:tc>
      </w:tr>
      <w:tr w:rsidR="00800964" w14:paraId="7B03712F" w14:textId="77777777">
        <w:tc>
          <w:tcPr>
            <w:tcW w:w="2340" w:type="dxa"/>
            <w:tcMar>
              <w:top w:w="100" w:type="dxa"/>
              <w:left w:w="100" w:type="dxa"/>
              <w:bottom w:w="100" w:type="dxa"/>
              <w:right w:w="100" w:type="dxa"/>
            </w:tcMar>
          </w:tcPr>
          <w:p w14:paraId="1070C9C2"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LOW: NYSE</w:t>
            </w:r>
          </w:p>
        </w:tc>
        <w:tc>
          <w:tcPr>
            <w:tcW w:w="2340" w:type="dxa"/>
            <w:tcMar>
              <w:top w:w="100" w:type="dxa"/>
              <w:left w:w="100" w:type="dxa"/>
              <w:bottom w:w="100" w:type="dxa"/>
              <w:right w:w="100" w:type="dxa"/>
            </w:tcMar>
          </w:tcPr>
          <w:p w14:paraId="51F8D657"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Lowe’s Companies, Inc.</w:t>
            </w:r>
          </w:p>
        </w:tc>
        <w:tc>
          <w:tcPr>
            <w:tcW w:w="2340" w:type="dxa"/>
            <w:tcMar>
              <w:top w:w="100" w:type="dxa"/>
              <w:left w:w="100" w:type="dxa"/>
              <w:bottom w:w="100" w:type="dxa"/>
              <w:right w:w="100" w:type="dxa"/>
            </w:tcMar>
          </w:tcPr>
          <w:p w14:paraId="5243B0A7"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09DCE9D6"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800964" w14:paraId="7C090959" w14:textId="77777777">
        <w:tc>
          <w:tcPr>
            <w:tcW w:w="2340" w:type="dxa"/>
            <w:tcMar>
              <w:top w:w="100" w:type="dxa"/>
              <w:left w:w="100" w:type="dxa"/>
              <w:bottom w:w="100" w:type="dxa"/>
              <w:right w:w="100" w:type="dxa"/>
            </w:tcMar>
          </w:tcPr>
          <w:p w14:paraId="4E1A0BFD"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MCD: NYSE</w:t>
            </w:r>
          </w:p>
        </w:tc>
        <w:tc>
          <w:tcPr>
            <w:tcW w:w="2340" w:type="dxa"/>
            <w:tcMar>
              <w:top w:w="100" w:type="dxa"/>
              <w:left w:w="100" w:type="dxa"/>
              <w:bottom w:w="100" w:type="dxa"/>
              <w:right w:w="100" w:type="dxa"/>
            </w:tcMar>
          </w:tcPr>
          <w:p w14:paraId="584AC2BF"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McDonalds Corporation</w:t>
            </w:r>
          </w:p>
        </w:tc>
        <w:tc>
          <w:tcPr>
            <w:tcW w:w="2340" w:type="dxa"/>
            <w:tcMar>
              <w:top w:w="100" w:type="dxa"/>
              <w:left w:w="100" w:type="dxa"/>
              <w:bottom w:w="100" w:type="dxa"/>
              <w:right w:w="100" w:type="dxa"/>
            </w:tcMar>
          </w:tcPr>
          <w:p w14:paraId="471E116C"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678F359F"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800964" w14:paraId="04E007AE" w14:textId="77777777">
        <w:tc>
          <w:tcPr>
            <w:tcW w:w="2340" w:type="dxa"/>
            <w:tcMar>
              <w:top w:w="100" w:type="dxa"/>
              <w:left w:w="100" w:type="dxa"/>
              <w:bottom w:w="100" w:type="dxa"/>
              <w:right w:w="100" w:type="dxa"/>
            </w:tcMar>
          </w:tcPr>
          <w:p w14:paraId="01B88D74"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NBN: NASDAQ</w:t>
            </w:r>
          </w:p>
        </w:tc>
        <w:tc>
          <w:tcPr>
            <w:tcW w:w="2340" w:type="dxa"/>
            <w:tcMar>
              <w:top w:w="100" w:type="dxa"/>
              <w:left w:w="100" w:type="dxa"/>
              <w:bottom w:w="100" w:type="dxa"/>
              <w:right w:w="100" w:type="dxa"/>
            </w:tcMar>
          </w:tcPr>
          <w:p w14:paraId="201740D5"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Northeast Bank</w:t>
            </w:r>
          </w:p>
        </w:tc>
        <w:tc>
          <w:tcPr>
            <w:tcW w:w="2340" w:type="dxa"/>
            <w:tcMar>
              <w:top w:w="100" w:type="dxa"/>
              <w:left w:w="100" w:type="dxa"/>
              <w:bottom w:w="100" w:type="dxa"/>
              <w:right w:w="100" w:type="dxa"/>
            </w:tcMar>
          </w:tcPr>
          <w:p w14:paraId="371EECDF"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3871E80D"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800964" w14:paraId="5513CA7C" w14:textId="77777777">
        <w:tc>
          <w:tcPr>
            <w:tcW w:w="2340" w:type="dxa"/>
            <w:tcMar>
              <w:top w:w="100" w:type="dxa"/>
              <w:left w:w="100" w:type="dxa"/>
              <w:bottom w:w="100" w:type="dxa"/>
              <w:right w:w="100" w:type="dxa"/>
            </w:tcMar>
          </w:tcPr>
          <w:p w14:paraId="2193403B"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PENN: NASDAQ</w:t>
            </w:r>
          </w:p>
        </w:tc>
        <w:tc>
          <w:tcPr>
            <w:tcW w:w="2340" w:type="dxa"/>
            <w:tcMar>
              <w:top w:w="100" w:type="dxa"/>
              <w:left w:w="100" w:type="dxa"/>
              <w:bottom w:w="100" w:type="dxa"/>
              <w:right w:w="100" w:type="dxa"/>
            </w:tcMar>
          </w:tcPr>
          <w:p w14:paraId="2913DCBE"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Penn National Gaming, Inc.</w:t>
            </w:r>
          </w:p>
        </w:tc>
        <w:tc>
          <w:tcPr>
            <w:tcW w:w="2340" w:type="dxa"/>
            <w:tcMar>
              <w:top w:w="100" w:type="dxa"/>
              <w:left w:w="100" w:type="dxa"/>
              <w:bottom w:w="100" w:type="dxa"/>
              <w:right w:w="100" w:type="dxa"/>
            </w:tcMar>
          </w:tcPr>
          <w:p w14:paraId="7A083F89"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297A54CB"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800964" w14:paraId="15BD49A5" w14:textId="77777777">
        <w:tc>
          <w:tcPr>
            <w:tcW w:w="2340" w:type="dxa"/>
            <w:tcMar>
              <w:top w:w="100" w:type="dxa"/>
              <w:left w:w="100" w:type="dxa"/>
              <w:bottom w:w="100" w:type="dxa"/>
              <w:right w:w="100" w:type="dxa"/>
            </w:tcMar>
          </w:tcPr>
          <w:p w14:paraId="734BCF9C"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RTX: NYSE</w:t>
            </w:r>
          </w:p>
        </w:tc>
        <w:tc>
          <w:tcPr>
            <w:tcW w:w="2340" w:type="dxa"/>
            <w:tcMar>
              <w:top w:w="100" w:type="dxa"/>
              <w:left w:w="100" w:type="dxa"/>
              <w:bottom w:w="100" w:type="dxa"/>
              <w:right w:w="100" w:type="dxa"/>
            </w:tcMar>
          </w:tcPr>
          <w:p w14:paraId="3E688856"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Raytheon Technologies Corporation</w:t>
            </w:r>
          </w:p>
        </w:tc>
        <w:tc>
          <w:tcPr>
            <w:tcW w:w="2340" w:type="dxa"/>
            <w:tcMar>
              <w:top w:w="100" w:type="dxa"/>
              <w:left w:w="100" w:type="dxa"/>
              <w:bottom w:w="100" w:type="dxa"/>
              <w:right w:w="100" w:type="dxa"/>
            </w:tcMar>
          </w:tcPr>
          <w:p w14:paraId="4B431E0A"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68E43475"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Industrials</w:t>
            </w:r>
          </w:p>
        </w:tc>
      </w:tr>
      <w:tr w:rsidR="00800964" w14:paraId="16A2345C" w14:textId="77777777">
        <w:tc>
          <w:tcPr>
            <w:tcW w:w="2340" w:type="dxa"/>
            <w:tcMar>
              <w:top w:w="100" w:type="dxa"/>
              <w:left w:w="100" w:type="dxa"/>
              <w:bottom w:w="100" w:type="dxa"/>
              <w:right w:w="100" w:type="dxa"/>
            </w:tcMar>
          </w:tcPr>
          <w:p w14:paraId="19BEE9F4"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TD: NYSE</w:t>
            </w:r>
          </w:p>
        </w:tc>
        <w:tc>
          <w:tcPr>
            <w:tcW w:w="2340" w:type="dxa"/>
            <w:tcMar>
              <w:top w:w="100" w:type="dxa"/>
              <w:left w:w="100" w:type="dxa"/>
              <w:bottom w:w="100" w:type="dxa"/>
              <w:right w:w="100" w:type="dxa"/>
            </w:tcMar>
          </w:tcPr>
          <w:p w14:paraId="4C21F328"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The Toronto-Dominion Bank</w:t>
            </w:r>
          </w:p>
        </w:tc>
        <w:tc>
          <w:tcPr>
            <w:tcW w:w="2340" w:type="dxa"/>
            <w:tcMar>
              <w:top w:w="100" w:type="dxa"/>
              <w:left w:w="100" w:type="dxa"/>
              <w:bottom w:w="100" w:type="dxa"/>
              <w:right w:w="100" w:type="dxa"/>
            </w:tcMar>
          </w:tcPr>
          <w:p w14:paraId="4D7A243D"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61CD28C7"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800964" w14:paraId="5A1DF933" w14:textId="77777777">
        <w:tc>
          <w:tcPr>
            <w:tcW w:w="2340" w:type="dxa"/>
            <w:tcMar>
              <w:top w:w="100" w:type="dxa"/>
              <w:left w:w="100" w:type="dxa"/>
              <w:bottom w:w="100" w:type="dxa"/>
              <w:right w:w="100" w:type="dxa"/>
            </w:tcMar>
          </w:tcPr>
          <w:p w14:paraId="67BF6DA2"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TMUS: NASDAQ</w:t>
            </w:r>
          </w:p>
        </w:tc>
        <w:tc>
          <w:tcPr>
            <w:tcW w:w="2340" w:type="dxa"/>
            <w:tcMar>
              <w:top w:w="100" w:type="dxa"/>
              <w:left w:w="100" w:type="dxa"/>
              <w:bottom w:w="100" w:type="dxa"/>
              <w:right w:w="100" w:type="dxa"/>
            </w:tcMar>
          </w:tcPr>
          <w:p w14:paraId="35DDD33E"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T-Mobile US, Inc.</w:t>
            </w:r>
          </w:p>
        </w:tc>
        <w:tc>
          <w:tcPr>
            <w:tcW w:w="2340" w:type="dxa"/>
            <w:tcMar>
              <w:top w:w="100" w:type="dxa"/>
              <w:left w:w="100" w:type="dxa"/>
              <w:bottom w:w="100" w:type="dxa"/>
              <w:right w:w="100" w:type="dxa"/>
            </w:tcMar>
          </w:tcPr>
          <w:p w14:paraId="19FDC0E0"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36DD1290"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Consumer Services</w:t>
            </w:r>
          </w:p>
        </w:tc>
      </w:tr>
      <w:tr w:rsidR="00800964" w14:paraId="5470FDCD" w14:textId="77777777">
        <w:tc>
          <w:tcPr>
            <w:tcW w:w="2340" w:type="dxa"/>
            <w:tcMar>
              <w:top w:w="100" w:type="dxa"/>
              <w:left w:w="100" w:type="dxa"/>
              <w:bottom w:w="100" w:type="dxa"/>
              <w:right w:w="100" w:type="dxa"/>
            </w:tcMar>
          </w:tcPr>
          <w:p w14:paraId="4AEE0007"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UPS: NYSE</w:t>
            </w:r>
          </w:p>
        </w:tc>
        <w:tc>
          <w:tcPr>
            <w:tcW w:w="2340" w:type="dxa"/>
            <w:tcMar>
              <w:top w:w="100" w:type="dxa"/>
              <w:left w:w="100" w:type="dxa"/>
              <w:bottom w:w="100" w:type="dxa"/>
              <w:right w:w="100" w:type="dxa"/>
            </w:tcMar>
          </w:tcPr>
          <w:p w14:paraId="2783F8F7"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United Parcel Service, Inc. </w:t>
            </w:r>
          </w:p>
        </w:tc>
        <w:tc>
          <w:tcPr>
            <w:tcW w:w="2340" w:type="dxa"/>
            <w:tcMar>
              <w:top w:w="100" w:type="dxa"/>
              <w:left w:w="100" w:type="dxa"/>
              <w:bottom w:w="100" w:type="dxa"/>
              <w:right w:w="100" w:type="dxa"/>
            </w:tcMar>
          </w:tcPr>
          <w:p w14:paraId="0CF2EF34"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5ECF5EB4"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Industrials</w:t>
            </w:r>
          </w:p>
        </w:tc>
      </w:tr>
      <w:tr w:rsidR="00800964" w14:paraId="2274D5CB" w14:textId="77777777">
        <w:tc>
          <w:tcPr>
            <w:tcW w:w="2340" w:type="dxa"/>
            <w:tcMar>
              <w:top w:w="100" w:type="dxa"/>
              <w:left w:w="100" w:type="dxa"/>
              <w:bottom w:w="100" w:type="dxa"/>
              <w:right w:w="100" w:type="dxa"/>
            </w:tcMar>
          </w:tcPr>
          <w:p w14:paraId="0DC57638"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UNM: NYSE</w:t>
            </w:r>
          </w:p>
        </w:tc>
        <w:tc>
          <w:tcPr>
            <w:tcW w:w="2340" w:type="dxa"/>
            <w:tcMar>
              <w:top w:w="100" w:type="dxa"/>
              <w:left w:w="100" w:type="dxa"/>
              <w:bottom w:w="100" w:type="dxa"/>
              <w:right w:w="100" w:type="dxa"/>
            </w:tcMar>
          </w:tcPr>
          <w:p w14:paraId="6B550687"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UNUM Group</w:t>
            </w:r>
          </w:p>
        </w:tc>
        <w:tc>
          <w:tcPr>
            <w:tcW w:w="2340" w:type="dxa"/>
            <w:tcMar>
              <w:top w:w="100" w:type="dxa"/>
              <w:left w:w="100" w:type="dxa"/>
              <w:bottom w:w="100" w:type="dxa"/>
              <w:right w:w="100" w:type="dxa"/>
            </w:tcMar>
          </w:tcPr>
          <w:p w14:paraId="37E84E1F"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6609D673"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800964" w14:paraId="35E57A91" w14:textId="77777777">
        <w:tc>
          <w:tcPr>
            <w:tcW w:w="2340" w:type="dxa"/>
            <w:tcMar>
              <w:top w:w="100" w:type="dxa"/>
              <w:left w:w="100" w:type="dxa"/>
              <w:bottom w:w="100" w:type="dxa"/>
              <w:right w:w="100" w:type="dxa"/>
            </w:tcMar>
          </w:tcPr>
          <w:p w14:paraId="773A8251"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VLO: NYSE</w:t>
            </w:r>
          </w:p>
        </w:tc>
        <w:tc>
          <w:tcPr>
            <w:tcW w:w="2340" w:type="dxa"/>
            <w:tcMar>
              <w:top w:w="100" w:type="dxa"/>
              <w:left w:w="100" w:type="dxa"/>
              <w:bottom w:w="100" w:type="dxa"/>
              <w:right w:w="100" w:type="dxa"/>
            </w:tcMar>
          </w:tcPr>
          <w:p w14:paraId="1AA658C3"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Valero Energy Corporation</w:t>
            </w:r>
          </w:p>
        </w:tc>
        <w:tc>
          <w:tcPr>
            <w:tcW w:w="2340" w:type="dxa"/>
            <w:tcMar>
              <w:top w:w="100" w:type="dxa"/>
              <w:left w:w="100" w:type="dxa"/>
              <w:bottom w:w="100" w:type="dxa"/>
              <w:right w:w="100" w:type="dxa"/>
            </w:tcMar>
          </w:tcPr>
          <w:p w14:paraId="7AA7E390"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15D20A65"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Energy</w:t>
            </w:r>
          </w:p>
        </w:tc>
      </w:tr>
      <w:tr w:rsidR="00800964" w14:paraId="6C0E25D1" w14:textId="77777777">
        <w:tc>
          <w:tcPr>
            <w:tcW w:w="2340" w:type="dxa"/>
            <w:tcMar>
              <w:top w:w="100" w:type="dxa"/>
              <w:left w:w="100" w:type="dxa"/>
              <w:bottom w:w="100" w:type="dxa"/>
              <w:right w:w="100" w:type="dxa"/>
            </w:tcMar>
          </w:tcPr>
          <w:p w14:paraId="3F9BD728"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WMT: NYSE</w:t>
            </w:r>
          </w:p>
        </w:tc>
        <w:tc>
          <w:tcPr>
            <w:tcW w:w="2340" w:type="dxa"/>
            <w:tcMar>
              <w:top w:w="100" w:type="dxa"/>
              <w:left w:w="100" w:type="dxa"/>
              <w:bottom w:w="100" w:type="dxa"/>
              <w:right w:w="100" w:type="dxa"/>
            </w:tcMar>
          </w:tcPr>
          <w:p w14:paraId="5899E223"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Walmart, Inc.</w:t>
            </w:r>
          </w:p>
        </w:tc>
        <w:tc>
          <w:tcPr>
            <w:tcW w:w="2340" w:type="dxa"/>
            <w:tcMar>
              <w:top w:w="100" w:type="dxa"/>
              <w:left w:w="100" w:type="dxa"/>
              <w:bottom w:w="100" w:type="dxa"/>
              <w:right w:w="100" w:type="dxa"/>
            </w:tcMar>
          </w:tcPr>
          <w:p w14:paraId="228532EE"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6AFFA29C"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Consumer Services</w:t>
            </w:r>
          </w:p>
        </w:tc>
      </w:tr>
      <w:tr w:rsidR="00800964" w14:paraId="375B1FB6" w14:textId="77777777">
        <w:tc>
          <w:tcPr>
            <w:tcW w:w="2340" w:type="dxa"/>
            <w:tcMar>
              <w:top w:w="100" w:type="dxa"/>
              <w:left w:w="100" w:type="dxa"/>
              <w:bottom w:w="100" w:type="dxa"/>
              <w:right w:w="100" w:type="dxa"/>
            </w:tcMar>
          </w:tcPr>
          <w:p w14:paraId="75CDB962"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WEX: NYSE</w:t>
            </w:r>
          </w:p>
        </w:tc>
        <w:tc>
          <w:tcPr>
            <w:tcW w:w="2340" w:type="dxa"/>
            <w:tcMar>
              <w:top w:w="100" w:type="dxa"/>
              <w:left w:w="100" w:type="dxa"/>
              <w:bottom w:w="100" w:type="dxa"/>
              <w:right w:w="100" w:type="dxa"/>
            </w:tcMar>
          </w:tcPr>
          <w:p w14:paraId="704DEB8B"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WEX, Inc. </w:t>
            </w:r>
          </w:p>
        </w:tc>
        <w:tc>
          <w:tcPr>
            <w:tcW w:w="2340" w:type="dxa"/>
            <w:tcMar>
              <w:top w:w="100" w:type="dxa"/>
              <w:left w:w="100" w:type="dxa"/>
              <w:bottom w:w="100" w:type="dxa"/>
              <w:right w:w="100" w:type="dxa"/>
            </w:tcMar>
          </w:tcPr>
          <w:p w14:paraId="785238F1"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055F62BA" w14:textId="77777777" w:rsidR="0080096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Information Technologies</w:t>
            </w:r>
          </w:p>
        </w:tc>
      </w:tr>
    </w:tbl>
    <w:p w14:paraId="3DDC4E0D" w14:textId="77777777" w:rsidR="00800964" w:rsidRDefault="00800964">
      <w:pPr>
        <w:rPr>
          <w:rFonts w:ascii="Times New Roman" w:eastAsia="Times New Roman" w:hAnsi="Times New Roman" w:cs="Times New Roman"/>
          <w:sz w:val="24"/>
          <w:szCs w:val="24"/>
        </w:rPr>
      </w:pPr>
    </w:p>
    <w:p w14:paraId="47AB26C2" w14:textId="77777777" w:rsidR="00800964" w:rsidRDefault="00800964">
      <w:pPr>
        <w:rPr>
          <w:rFonts w:ascii="Times New Roman" w:eastAsia="Times New Roman" w:hAnsi="Times New Roman" w:cs="Times New Roman"/>
          <w:sz w:val="28"/>
          <w:szCs w:val="28"/>
        </w:rPr>
      </w:pPr>
    </w:p>
    <w:p w14:paraId="0BFAB8BF" w14:textId="77777777" w:rsidR="00800964" w:rsidRDefault="00800964">
      <w:pPr>
        <w:rPr>
          <w:rFonts w:ascii="Times New Roman" w:eastAsia="Times New Roman" w:hAnsi="Times New Roman" w:cs="Times New Roman"/>
          <w:sz w:val="24"/>
          <w:szCs w:val="24"/>
        </w:rPr>
      </w:pPr>
    </w:p>
    <w:sectPr w:rsidR="0080096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A15A9226-262A-8D46-9A8D-4ADD727DD5D5}"/>
    <w:embedItalic r:id="rId2" w:fontKey="{59D86029-3171-DD49-913D-8F64392E1205}"/>
  </w:font>
  <w:font w:name="Times New Roman">
    <w:panose1 w:val="02020603050405020304"/>
    <w:charset w:val="00"/>
    <w:family w:val="roman"/>
    <w:pitch w:val="variable"/>
    <w:sig w:usb0="E0002EFF" w:usb1="C000785B" w:usb2="00000009" w:usb3="00000000" w:csb0="000001FF" w:csb1="00000000"/>
    <w:embedRegular r:id="rId3" w:fontKey="{1AFF6366-ACB7-6949-8C7E-C3FE6A33923E}"/>
    <w:embedBold r:id="rId4" w:fontKey="{B5DA0A9D-EBD0-8D49-B836-06043B529002}"/>
    <w:embedItalic r:id="rId5" w:fontKey="{D30C0EAA-41C6-3B45-B381-50E5429659A3}"/>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6" w:fontKey="{0CAE8A7E-544B-4B40-A206-A1AF67851B22}"/>
  </w:font>
  <w:font w:name="Cambria">
    <w:panose1 w:val="02040503050406030204"/>
    <w:charset w:val="00"/>
    <w:family w:val="roman"/>
    <w:pitch w:val="variable"/>
    <w:sig w:usb0="E00006FF" w:usb1="420024FF" w:usb2="02000000" w:usb3="00000000" w:csb0="0000019F" w:csb1="00000000"/>
    <w:embedRegular r:id="rId7" w:fontKey="{DFFCAC48-DEAB-6842-9A96-B19AEE2E7D9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964"/>
    <w:rsid w:val="002C0A83"/>
    <w:rsid w:val="004D7A43"/>
    <w:rsid w:val="00632451"/>
    <w:rsid w:val="006778D4"/>
    <w:rsid w:val="006D4F6E"/>
    <w:rsid w:val="00800964"/>
    <w:rsid w:val="00D73A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4E6F3C4"/>
  <w15:docId w15:val="{EF4BFF5D-5E8A-DF49-846E-4B3D1AC9E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CellMar>
        <w:top w:w="0" w:type="dxa"/>
        <w:left w:w="115" w:type="dxa"/>
        <w:bottom w:w="0" w:type="dxa"/>
        <w:right w:w="115" w:type="dxa"/>
      </w:tblCellMar>
    </w:tblPr>
  </w:style>
  <w:style w:type="paragraph" w:styleId="Revision">
    <w:name w:val="Revision"/>
    <w:hidden/>
    <w:uiPriority w:val="99"/>
    <w:semiHidden/>
    <w:rsid w:val="005B2A1A"/>
    <w:pPr>
      <w:spacing w:line="240" w:lineRule="auto"/>
    </w:pPr>
  </w:style>
  <w:style w:type="table" w:customStyle="1" w:styleId="a0">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wsj.com/business/earnings/td-bank-pushes-up-dividend-after-underlying-earnings-revenue-beat-expectations" TargetMode="External"/><Relationship Id="rId13" Type="http://schemas.openxmlformats.org/officeDocument/2006/relationships/hyperlink" Target="https://simplywall.st/stocks/us/healthcare/nasdaq-idxx/idexx-laboratories/news/assessing-idexx-laboratories-idxx-valuation-after-its-strong/amp?utm_source=chatgpt.com" TargetMode="External"/><Relationship Id="rId3" Type="http://schemas.openxmlformats.org/officeDocument/2006/relationships/settings" Target="settings.xml"/><Relationship Id="rId7" Type="http://schemas.openxmlformats.org/officeDocument/2006/relationships/hyperlink" Target="https://www.wsj.com/business/earnings/td-bank-pushes-up-dividend-after-underlying-earnings-revenue-beat-expectations" TargetMode="External"/><Relationship Id="rId12" Type="http://schemas.openxmlformats.org/officeDocument/2006/relationships/hyperlink" Target="https://simplywall.st/stocks/us/healthcare/nasdaq-idxx/idexx-laboratories/news/assessing-idexx-laboratories-idxx-valuation-after-its-strong/amp?utm_source=chatgpt.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wvnews.com/news/around_the_web/collegefootballwarehouse/immucells-two-product-edge-in-cattle-health-fuels-growth/article" TargetMode="External"/><Relationship Id="rId11" Type="http://schemas.openxmlformats.org/officeDocument/2006/relationships/hyperlink" Target="https://cdcgaming.com/penn-entertainment-unveils-las-vegas-expansion-project/" TargetMode="External"/><Relationship Id="rId5" Type="http://schemas.openxmlformats.org/officeDocument/2006/relationships/hyperlink" Target="https://www.wvnews.com/news/around_the_web/collegefootballwarehouse/immucells-two-product-edge-in-cattle-health-fuels-growth/article_c53e440f-397b-5530-bb1d-64b707c137d2.html?utm_source=chatgpt.com" TargetMode="External"/><Relationship Id="rId15" Type="http://schemas.openxmlformats.org/officeDocument/2006/relationships/theme" Target="theme/theme1.xml"/><Relationship Id="rId10" Type="http://schemas.openxmlformats.org/officeDocument/2006/relationships/hyperlink" Target="https://cdcgaming.com/penn-entertainment-unveils-las-vegas-expansion-project/?utm_source=chatgpt.com" TargetMode="External"/><Relationship Id="rId4" Type="http://schemas.openxmlformats.org/officeDocument/2006/relationships/webSettings" Target="webSettings.xml"/><Relationship Id="rId9" Type="http://schemas.openxmlformats.org/officeDocument/2006/relationships/hyperlink" Target="https://finance.yahoo.com/news/toronto-dominion-bank-td-q4-230112007.html?utm_source=chatgpt.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9q4x/A3Wn0zVbdj6dWBd9X6bLQ==">CgMxLjA4AHIhMTdKMmxoelg1NmJSajVCMmlFWHRRMzRNY0tDSUtjQ0pj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1529</Words>
  <Characters>9345</Characters>
  <Application>Microsoft Office Word</Application>
  <DocSecurity>0</DocSecurity>
  <Lines>292</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 Liu</cp:lastModifiedBy>
  <cp:revision>5</cp:revision>
  <dcterms:created xsi:type="dcterms:W3CDTF">2025-12-07T00:35:00Z</dcterms:created>
  <dcterms:modified xsi:type="dcterms:W3CDTF">2025-12-08T00:48:00Z</dcterms:modified>
</cp:coreProperties>
</file>