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704543" w14:textId="77777777" w:rsidR="00E61AD0" w:rsidRPr="002F53BC" w:rsidRDefault="00E61AD0" w:rsidP="00E61AD0">
      <w:pPr>
        <w:jc w:val="center"/>
        <w:rPr>
          <w:rFonts w:ascii="Times New Roman" w:eastAsia="Times New Roman" w:hAnsi="Times New Roman" w:cs="Times New Roman"/>
          <w:b/>
          <w:bCs/>
        </w:rPr>
      </w:pPr>
      <w:r w:rsidRPr="002F53BC">
        <w:rPr>
          <w:rFonts w:ascii="Times New Roman" w:eastAsia="Times New Roman" w:hAnsi="Times New Roman" w:cs="Times New Roman"/>
          <w:b/>
          <w:bCs/>
        </w:rPr>
        <w:t>Husson Stock Index</w:t>
      </w:r>
    </w:p>
    <w:p w14:paraId="041DE3E0" w14:textId="77777777" w:rsidR="00E61AD0" w:rsidRPr="002F53BC" w:rsidRDefault="00E61AD0" w:rsidP="00E61AD0">
      <w:pPr>
        <w:jc w:val="center"/>
        <w:rPr>
          <w:rFonts w:ascii="Times New Roman" w:eastAsia="Times New Roman" w:hAnsi="Times New Roman" w:cs="Times New Roman"/>
          <w:b/>
          <w:bCs/>
        </w:rPr>
      </w:pPr>
      <w:r w:rsidRPr="002F53BC">
        <w:rPr>
          <w:rFonts w:ascii="Times New Roman" w:eastAsia="Times New Roman" w:hAnsi="Times New Roman" w:cs="Times New Roman"/>
          <w:b/>
          <w:bCs/>
        </w:rPr>
        <w:t xml:space="preserve">Friday, </w:t>
      </w:r>
      <w:r>
        <w:rPr>
          <w:rFonts w:ascii="Times New Roman" w:eastAsia="Times New Roman" w:hAnsi="Times New Roman" w:cs="Times New Roman"/>
          <w:b/>
          <w:bCs/>
        </w:rPr>
        <w:t>September 18th</w:t>
      </w:r>
      <w:r w:rsidRPr="002F53BC">
        <w:rPr>
          <w:rFonts w:ascii="Times New Roman" w:eastAsia="Times New Roman" w:hAnsi="Times New Roman" w:cs="Times New Roman"/>
          <w:b/>
          <w:bCs/>
        </w:rPr>
        <w:t>, 2026</w:t>
      </w:r>
    </w:p>
    <w:p w14:paraId="09BBB543" w14:textId="2544FAA0" w:rsidR="00E61AD0" w:rsidRPr="002F53BC" w:rsidRDefault="00E61AD0" w:rsidP="00E61AD0">
      <w:pPr>
        <w:rPr>
          <w:rFonts w:ascii="Times New Roman" w:eastAsia="Times New Roman" w:hAnsi="Times New Roman" w:cs="Times New Roman"/>
        </w:rPr>
      </w:pPr>
      <w:r w:rsidRPr="002F53BC">
        <w:rPr>
          <w:rFonts w:ascii="Times New Roman" w:eastAsia="Times New Roman" w:hAnsi="Times New Roman" w:cs="Times New Roman"/>
          <w:b/>
          <w:bCs/>
        </w:rPr>
        <w:tab/>
      </w:r>
      <w:r w:rsidRPr="00AA0421">
        <w:rPr>
          <w:rFonts w:ascii="Times New Roman" w:eastAsia="Times New Roman" w:hAnsi="Times New Roman" w:cs="Times New Roman"/>
        </w:rPr>
        <w:t xml:space="preserve">For the week ending September </w:t>
      </w:r>
      <w:r>
        <w:rPr>
          <w:rFonts w:ascii="Times New Roman" w:eastAsia="Times New Roman" w:hAnsi="Times New Roman" w:cs="Times New Roman"/>
        </w:rPr>
        <w:t>18</w:t>
      </w:r>
      <w:r w:rsidRPr="00AA0421">
        <w:rPr>
          <w:rFonts w:ascii="Times New Roman" w:eastAsia="Times New Roman" w:hAnsi="Times New Roman" w:cs="Times New Roman"/>
        </w:rPr>
        <w:t xml:space="preserve">, 2026, the Husson Stock index (HSI) closed at </w:t>
      </w:r>
      <w:r>
        <w:rPr>
          <w:rFonts w:ascii="Times New Roman" w:eastAsia="Times New Roman" w:hAnsi="Times New Roman" w:cs="Times New Roman"/>
        </w:rPr>
        <w:t>254.48</w:t>
      </w:r>
      <w:r w:rsidRPr="00AA0421">
        <w:rPr>
          <w:rFonts w:ascii="Times New Roman" w:eastAsia="Times New Roman" w:hAnsi="Times New Roman" w:cs="Times New Roman"/>
        </w:rPr>
        <w:t xml:space="preserve">, a decrease of </w:t>
      </w:r>
      <w:r>
        <w:rPr>
          <w:rFonts w:ascii="Times New Roman" w:eastAsia="Times New Roman" w:hAnsi="Times New Roman" w:cs="Times New Roman"/>
        </w:rPr>
        <w:t>0.73%</w:t>
      </w:r>
      <w:r w:rsidRPr="00AA0421">
        <w:rPr>
          <w:rFonts w:ascii="Times New Roman" w:eastAsia="Times New Roman" w:hAnsi="Times New Roman" w:cs="Times New Roman"/>
        </w:rPr>
        <w:t xml:space="preserve"> from last week, which was </w:t>
      </w:r>
      <w:r w:rsidR="001E08AF">
        <w:rPr>
          <w:rFonts w:ascii="Times New Roman" w:eastAsia="Times New Roman" w:hAnsi="Times New Roman" w:cs="Times New Roman"/>
        </w:rPr>
        <w:t>256.34</w:t>
      </w:r>
      <w:r w:rsidRPr="00AA0421">
        <w:rPr>
          <w:rFonts w:ascii="Times New Roman" w:eastAsia="Times New Roman" w:hAnsi="Times New Roman" w:cs="Times New Roman"/>
        </w:rPr>
        <w:t xml:space="preserve"> The HSI </w:t>
      </w:r>
      <w:r>
        <w:rPr>
          <w:rFonts w:ascii="Times New Roman" w:eastAsia="Times New Roman" w:hAnsi="Times New Roman" w:cs="Times New Roman"/>
        </w:rPr>
        <w:t>is now sitting at an increase of 0.89%</w:t>
      </w:r>
      <w:r w:rsidRPr="00AA0421">
        <w:rPr>
          <w:rFonts w:ascii="Times New Roman" w:eastAsia="Times New Roman" w:hAnsi="Times New Roman" w:cs="Times New Roman"/>
        </w:rPr>
        <w:t xml:space="preserve"> year-to-date. The S&amp;P 500 (GSPC) saw a slight </w:t>
      </w:r>
      <w:r>
        <w:rPr>
          <w:rFonts w:ascii="Times New Roman" w:eastAsia="Times New Roman" w:hAnsi="Times New Roman" w:cs="Times New Roman"/>
        </w:rPr>
        <w:t>decrease</w:t>
      </w:r>
      <w:r w:rsidRPr="00AA0421">
        <w:rPr>
          <w:rFonts w:ascii="Times New Roman" w:eastAsia="Times New Roman" w:hAnsi="Times New Roman" w:cs="Times New Roman"/>
        </w:rPr>
        <w:t xml:space="preserve"> of 0.0</w:t>
      </w:r>
      <w:r>
        <w:rPr>
          <w:rFonts w:ascii="Times New Roman" w:eastAsia="Times New Roman" w:hAnsi="Times New Roman" w:cs="Times New Roman"/>
        </w:rPr>
        <w:t>8</w:t>
      </w:r>
      <w:r w:rsidRPr="00AA0421">
        <w:rPr>
          <w:rFonts w:ascii="Times New Roman" w:eastAsia="Times New Roman" w:hAnsi="Times New Roman" w:cs="Times New Roman"/>
        </w:rPr>
        <w:t xml:space="preserve">% this </w:t>
      </w:r>
      <w:r w:rsidR="00224038" w:rsidRPr="00AA0421">
        <w:rPr>
          <w:rFonts w:ascii="Times New Roman" w:eastAsia="Times New Roman" w:hAnsi="Times New Roman" w:cs="Times New Roman"/>
        </w:rPr>
        <w:t>week and</w:t>
      </w:r>
      <w:r w:rsidRPr="00AA0421">
        <w:rPr>
          <w:rFonts w:ascii="Times New Roman" w:eastAsia="Times New Roman" w:hAnsi="Times New Roman" w:cs="Times New Roman"/>
        </w:rPr>
        <w:t xml:space="preserve"> has observed a YTD increase of 1</w:t>
      </w:r>
      <w:r>
        <w:rPr>
          <w:rFonts w:ascii="Times New Roman" w:eastAsia="Times New Roman" w:hAnsi="Times New Roman" w:cs="Times New Roman"/>
        </w:rPr>
        <w:t>1.55</w:t>
      </w:r>
      <w:r w:rsidRPr="00AA0421">
        <w:rPr>
          <w:rFonts w:ascii="Times New Roman" w:eastAsia="Times New Roman" w:hAnsi="Times New Roman" w:cs="Times New Roman"/>
        </w:rPr>
        <w:t xml:space="preserve">%. The Dow Jones Industrial Average (DJIA) saw a decrease of </w:t>
      </w:r>
      <w:r>
        <w:rPr>
          <w:rFonts w:ascii="Times New Roman" w:eastAsia="Times New Roman" w:hAnsi="Times New Roman" w:cs="Times New Roman"/>
        </w:rPr>
        <w:t>1.69</w:t>
      </w:r>
      <w:r w:rsidRPr="00AA0421">
        <w:rPr>
          <w:rFonts w:ascii="Times New Roman" w:eastAsia="Times New Roman" w:hAnsi="Times New Roman" w:cs="Times New Roman"/>
        </w:rPr>
        <w:t xml:space="preserve">% this week, therefore its year-to-date gain is now </w:t>
      </w:r>
      <w:r>
        <w:rPr>
          <w:rFonts w:ascii="Times New Roman" w:eastAsia="Times New Roman" w:hAnsi="Times New Roman" w:cs="Times New Roman"/>
        </w:rPr>
        <w:t>6.82</w:t>
      </w:r>
      <w:r w:rsidRPr="00AA0421">
        <w:rPr>
          <w:rFonts w:ascii="Times New Roman" w:eastAsia="Times New Roman" w:hAnsi="Times New Roman" w:cs="Times New Roman"/>
        </w:rPr>
        <w:t>%.</w:t>
      </w:r>
    </w:p>
    <w:p w14:paraId="01257741" w14:textId="77777777" w:rsidR="00E61AD0" w:rsidRPr="002F53BC" w:rsidRDefault="00E61AD0" w:rsidP="00E61AD0">
      <w:pPr>
        <w:jc w:val="center"/>
        <w:rPr>
          <w:rFonts w:ascii="Times New Roman" w:eastAsia="Times New Roman" w:hAnsi="Times New Roman" w:cs="Times New Roman"/>
        </w:rPr>
      </w:pPr>
    </w:p>
    <w:p w14:paraId="155C96AA" w14:textId="77777777" w:rsidR="00E61AD0" w:rsidRPr="002F53BC" w:rsidRDefault="00E61AD0" w:rsidP="00E61AD0">
      <w:pPr>
        <w:jc w:val="center"/>
        <w:rPr>
          <w:rFonts w:ascii="Times New Roman" w:eastAsia="Times New Roman" w:hAnsi="Times New Roman" w:cs="Times New Roman"/>
          <w:b/>
          <w:bCs/>
        </w:rPr>
      </w:pPr>
      <w:r w:rsidRPr="002F53BC">
        <w:rPr>
          <w:rFonts w:ascii="Times New Roman" w:eastAsia="Times New Roman" w:hAnsi="Times New Roman" w:cs="Times New Roman"/>
          <w:b/>
          <w:bCs/>
        </w:rPr>
        <w:t>Summary</w:t>
      </w:r>
    </w:p>
    <w:p w14:paraId="1C0CA505" w14:textId="77777777" w:rsidR="00E61AD0" w:rsidRDefault="00E61AD0" w:rsidP="00E61AD0">
      <w:pPr>
        <w:rPr>
          <w:rFonts w:ascii="Times New Roman" w:eastAsia="Times New Roman" w:hAnsi="Times New Roman" w:cs="Times New Roman"/>
          <w:lang w:val="en-US"/>
        </w:rPr>
      </w:pPr>
      <w:r w:rsidRPr="002F53BC">
        <w:rPr>
          <w:rFonts w:ascii="Times New Roman" w:eastAsia="Times New Roman" w:hAnsi="Times New Roman" w:cs="Times New Roman"/>
        </w:rPr>
        <w:tab/>
      </w:r>
      <w:r w:rsidRPr="00637DDC">
        <w:rPr>
          <w:rFonts w:ascii="Times New Roman" w:eastAsia="Times New Roman" w:hAnsi="Times New Roman" w:cs="Times New Roman"/>
          <w:lang w:val="en-US"/>
        </w:rPr>
        <w:t xml:space="preserve">The largest gain on the HSI this week was from Valero Energy Corporation (VLO: NYSE). Valero increased from $390.42 to $413.28, or 5.86%, reaching another record high. Refining margins have run at record levels this year, and the company's </w:t>
      </w:r>
      <w:proofErr w:type="gramStart"/>
      <w:r w:rsidRPr="00637DDC">
        <w:rPr>
          <w:rFonts w:ascii="Times New Roman" w:eastAsia="Times New Roman" w:hAnsi="Times New Roman" w:cs="Times New Roman"/>
          <w:lang w:val="en-US"/>
        </w:rPr>
        <w:t>second-quarter</w:t>
      </w:r>
      <w:proofErr w:type="gramEnd"/>
      <w:r w:rsidRPr="00637DDC">
        <w:rPr>
          <w:rFonts w:ascii="Times New Roman" w:eastAsia="Times New Roman" w:hAnsi="Times New Roman" w:cs="Times New Roman"/>
          <w:lang w:val="en-US"/>
        </w:rPr>
        <w:t xml:space="preserve"> adjusted earnings of $12.54 per share against $2.28 a year ago show how much operating leverage a refiner carries when product demand outpaces available capacity. Continued strength in those margins may have kept capital moving toward the sector this week. It is worth noting that the consensus analyst price target of roughly $283 now sits well below where the shares </w:t>
      </w:r>
      <w:proofErr w:type="gramStart"/>
      <w:r w:rsidRPr="00637DDC">
        <w:rPr>
          <w:rFonts w:ascii="Times New Roman" w:eastAsia="Times New Roman" w:hAnsi="Times New Roman" w:cs="Times New Roman"/>
          <w:lang w:val="en-US"/>
        </w:rPr>
        <w:t>actually trade</w:t>
      </w:r>
      <w:proofErr w:type="gramEnd"/>
      <w:r w:rsidRPr="00637DDC">
        <w:rPr>
          <w:rFonts w:ascii="Times New Roman" w:eastAsia="Times New Roman" w:hAnsi="Times New Roman" w:cs="Times New Roman"/>
          <w:lang w:val="en-US"/>
        </w:rPr>
        <w:t xml:space="preserve">, leaving Valero priced with very little room for disappointment. </w:t>
      </w:r>
    </w:p>
    <w:p w14:paraId="2C2364B5" w14:textId="77777777" w:rsidR="00E61AD0" w:rsidRPr="00637DDC" w:rsidRDefault="00E61AD0" w:rsidP="00E61AD0">
      <w:pPr>
        <w:ind w:firstLine="720"/>
        <w:rPr>
          <w:rFonts w:ascii="Times New Roman" w:eastAsia="Times New Roman" w:hAnsi="Times New Roman" w:cs="Times New Roman"/>
          <w:lang w:val="en-US"/>
        </w:rPr>
      </w:pPr>
      <w:r w:rsidRPr="00637DDC">
        <w:rPr>
          <w:rFonts w:ascii="Times New Roman" w:eastAsia="Times New Roman" w:hAnsi="Times New Roman" w:cs="Times New Roman"/>
          <w:lang w:val="en-US"/>
        </w:rPr>
        <w:t>The second largest gain on the HSI this week was from IDEXX Laboratories (IDXX: NASDAQ). IDEXX saw an increase in price from $504.70 to $511.65, a percentage increase of 1.38%.</w:t>
      </w:r>
    </w:p>
    <w:p w14:paraId="64DB3234" w14:textId="77777777" w:rsidR="00E61AD0" w:rsidRPr="00637DDC" w:rsidRDefault="00E61AD0" w:rsidP="00E61AD0">
      <w:pPr>
        <w:ind w:firstLine="720"/>
        <w:rPr>
          <w:rFonts w:ascii="Times New Roman" w:eastAsia="Times New Roman" w:hAnsi="Times New Roman" w:cs="Times New Roman"/>
          <w:lang w:val="en-US"/>
        </w:rPr>
      </w:pPr>
      <w:r w:rsidRPr="00637DDC">
        <w:rPr>
          <w:rFonts w:ascii="Times New Roman" w:eastAsia="Times New Roman" w:hAnsi="Times New Roman" w:cs="Times New Roman"/>
          <w:lang w:val="en-US"/>
        </w:rPr>
        <w:t>The largest loss on the HSI this week was from Charter Communications (CHTR: NASDAQ). Charter fell from $145.77 to $128.17, a percentage change of 12.07%, leaving the stock roughly $158 below its 52-week high of $285.82.</w:t>
      </w:r>
    </w:p>
    <w:p w14:paraId="4821F129" w14:textId="77777777" w:rsidR="00E61AD0" w:rsidRPr="00637DDC" w:rsidRDefault="00E61AD0" w:rsidP="00E61AD0">
      <w:pPr>
        <w:ind w:firstLine="720"/>
        <w:rPr>
          <w:rFonts w:ascii="Times New Roman" w:eastAsia="Times New Roman" w:hAnsi="Times New Roman" w:cs="Times New Roman"/>
          <w:lang w:val="en-US"/>
        </w:rPr>
      </w:pPr>
      <w:r w:rsidRPr="00637DDC">
        <w:rPr>
          <w:rFonts w:ascii="Times New Roman" w:eastAsia="Times New Roman" w:hAnsi="Times New Roman" w:cs="Times New Roman"/>
          <w:lang w:val="en-US"/>
        </w:rPr>
        <w:t>The second largest loss on the HSI this week was from Bank of America (BAC: NYSE), which decreased from $62.69 to $57.73, a percentage change of 7.91%. Speaking at the Barclays Global Financial Services Conference on September 14th, CEO Brian Moynihan guided third-quarter investment banking fees to a range of $1.6 to $1.8 billion, down from $2.0 billion in the same quarter a year ago and below what analysts had been expecting. He described the broader market as down roughly 10% and said Bank of America would likely come in somewhat below that. Shares fell about 5% that same day, closing at $59.47, and drifted lower through the rest of the week. The size of the move is worth noting relative to the news itself. A shortfall of $200 to $400 million against expectations is a small fraction of the $31.56 billion in revenue the bank produced in the second quarter, so a decline of nearly 8% suggests investors were reconsidering how durable recent capital markets revenue is rather than simply marking down one quarter of fee income. The S&amp;P 500 banking index fell 2.7% on the same day, while the Maine-based banks in the index were nearly unchanged, carrying little exposure to that business.</w:t>
      </w:r>
    </w:p>
    <w:p w14:paraId="592D8237" w14:textId="77777777" w:rsidR="00E61AD0" w:rsidRPr="002F53BC" w:rsidRDefault="00E61AD0" w:rsidP="00E61AD0">
      <w:pPr>
        <w:rPr>
          <w:rFonts w:ascii="Times New Roman" w:eastAsia="Times New Roman" w:hAnsi="Times New Roman" w:cs="Times New Roman"/>
        </w:rPr>
      </w:pPr>
      <w:r w:rsidRPr="002F53BC">
        <w:rPr>
          <w:rFonts w:ascii="Times New Roman" w:eastAsia="Times New Roman" w:hAnsi="Times New Roman" w:cs="Times New Roman"/>
          <w:b/>
          <w:bCs/>
        </w:rPr>
        <w:tab/>
      </w:r>
    </w:p>
    <w:p w14:paraId="41E96D65" w14:textId="77777777" w:rsidR="00E61AD0" w:rsidRPr="002F53BC" w:rsidRDefault="00E61AD0" w:rsidP="00E61AD0">
      <w:pPr>
        <w:rPr>
          <w:rFonts w:ascii="Times New Roman" w:eastAsia="Times New Roman" w:hAnsi="Times New Roman" w:cs="Times New Roman"/>
        </w:rPr>
      </w:pPr>
    </w:p>
    <w:p w14:paraId="3316875F" w14:textId="77777777" w:rsidR="00E61AD0" w:rsidRPr="002F53BC" w:rsidRDefault="00E61AD0" w:rsidP="00E61AD0">
      <w:pPr>
        <w:rPr>
          <w:rFonts w:ascii="Times New Roman" w:eastAsia="Times New Roman" w:hAnsi="Times New Roman" w:cs="Times New Roman"/>
        </w:rPr>
      </w:pPr>
    </w:p>
    <w:p w14:paraId="02540C86" w14:textId="77777777" w:rsidR="00E61AD0" w:rsidRPr="002F53BC" w:rsidRDefault="00E61AD0" w:rsidP="00E61AD0">
      <w:pPr>
        <w:rPr>
          <w:rFonts w:ascii="Times New Roman" w:eastAsia="Times New Roman" w:hAnsi="Times New Roman" w:cs="Times New Roman"/>
        </w:rPr>
      </w:pPr>
    </w:p>
    <w:p w14:paraId="6D712F51" w14:textId="77777777" w:rsidR="00E61AD0" w:rsidRPr="002F53BC" w:rsidRDefault="00E61AD0" w:rsidP="00E61AD0">
      <w:pPr>
        <w:rPr>
          <w:rFonts w:ascii="Times New Roman" w:eastAsia="Times New Roman" w:hAnsi="Times New Roman" w:cs="Times New Roman"/>
        </w:rPr>
      </w:pPr>
      <w:r w:rsidRPr="002F53BC">
        <w:rPr>
          <w:rFonts w:ascii="Times New Roman" w:eastAsia="Times New Roman" w:hAnsi="Times New Roman" w:cs="Times New Roman"/>
        </w:rPr>
        <w:tab/>
      </w:r>
    </w:p>
    <w:p w14:paraId="2A3130F0" w14:textId="77777777" w:rsidR="00E61AD0" w:rsidRDefault="00E61AD0" w:rsidP="00E61AD0">
      <w:pPr>
        <w:rPr>
          <w:rFonts w:ascii="Times New Roman" w:eastAsia="Times New Roman" w:hAnsi="Times New Roman" w:cs="Times New Roman"/>
        </w:rPr>
      </w:pPr>
    </w:p>
    <w:p w14:paraId="3C2F30FE" w14:textId="77777777" w:rsidR="00E61AD0" w:rsidRDefault="00E61AD0" w:rsidP="00E61AD0">
      <w:pPr>
        <w:rPr>
          <w:rFonts w:ascii="Times New Roman" w:eastAsia="Times New Roman" w:hAnsi="Times New Roman" w:cs="Times New Roman"/>
        </w:rPr>
      </w:pPr>
    </w:p>
    <w:p w14:paraId="797756E3" w14:textId="77777777" w:rsidR="00E61AD0" w:rsidRDefault="00E61AD0" w:rsidP="00E61AD0">
      <w:pPr>
        <w:rPr>
          <w:rFonts w:ascii="Times New Roman" w:eastAsia="Times New Roman" w:hAnsi="Times New Roman" w:cs="Times New Roman"/>
        </w:rPr>
      </w:pPr>
    </w:p>
    <w:p w14:paraId="724D41C4" w14:textId="77777777" w:rsidR="00E61AD0" w:rsidRDefault="00E61AD0" w:rsidP="00E61AD0">
      <w:pPr>
        <w:rPr>
          <w:rFonts w:ascii="Times New Roman" w:eastAsia="Times New Roman" w:hAnsi="Times New Roman" w:cs="Times New Roman"/>
        </w:rPr>
      </w:pPr>
    </w:p>
    <w:p w14:paraId="18E0ED6C" w14:textId="77777777" w:rsidR="00E61AD0" w:rsidRPr="002F53BC" w:rsidRDefault="00E61AD0" w:rsidP="00E61AD0">
      <w:pPr>
        <w:rPr>
          <w:rFonts w:ascii="Times New Roman" w:eastAsia="Times New Roman" w:hAnsi="Times New Roman" w:cs="Times New Roman"/>
        </w:rPr>
      </w:pPr>
    </w:p>
    <w:p w14:paraId="08010D66" w14:textId="77777777" w:rsidR="00E61AD0" w:rsidRPr="002F53BC" w:rsidRDefault="00E61AD0" w:rsidP="00E61AD0">
      <w:pPr>
        <w:jc w:val="center"/>
        <w:rPr>
          <w:rFonts w:ascii="Times New Roman" w:eastAsia="Times New Roman" w:hAnsi="Times New Roman" w:cs="Times New Roman"/>
          <w:b/>
          <w:bCs/>
        </w:rPr>
      </w:pPr>
      <w:r w:rsidRPr="002F53BC">
        <w:rPr>
          <w:rFonts w:ascii="Times New Roman" w:eastAsia="Times New Roman" w:hAnsi="Times New Roman" w:cs="Times New Roman"/>
          <w:b/>
          <w:bCs/>
        </w:rPr>
        <w:lastRenderedPageBreak/>
        <w:t>Overview</w:t>
      </w:r>
    </w:p>
    <w:p w14:paraId="2B6BA845" w14:textId="77777777" w:rsidR="00E61AD0" w:rsidRPr="002F53BC" w:rsidRDefault="00E61AD0" w:rsidP="00E61AD0">
      <w:pPr>
        <w:ind w:firstLine="720"/>
        <w:rPr>
          <w:rFonts w:ascii="Times New Roman" w:eastAsia="Times New Roman" w:hAnsi="Times New Roman" w:cs="Times New Roman"/>
        </w:rPr>
      </w:pPr>
      <w:r w:rsidRPr="002F53BC">
        <w:rPr>
          <w:rFonts w:ascii="Times New Roman" w:eastAsia="Times New Roman" w:hAnsi="Times New Roman" w:cs="Times New Roman"/>
        </w:rPr>
        <w:t xml:space="preserve">The HSI was developed by Marie Kenney, while a student at Husson University, in consultation with Associate Professor J. Douglas Wellington. The index is currently being tracked and analyzed by Husson student </w:t>
      </w:r>
      <w:r>
        <w:rPr>
          <w:rFonts w:ascii="Times New Roman" w:eastAsia="Times New Roman" w:hAnsi="Times New Roman" w:cs="Times New Roman"/>
        </w:rPr>
        <w:t>Cooper Grondin</w:t>
      </w:r>
      <w:r w:rsidRPr="002F53BC">
        <w:rPr>
          <w:rFonts w:ascii="Times New Roman" w:eastAsia="Times New Roman" w:hAnsi="Times New Roman" w:cs="Times New Roman"/>
        </w:rPr>
        <w:t xml:space="preserve"> under the supervision of the Associate Professor of Finance, Dr. Jia Liu. The HSI currently tracks and analyzes the stocks of 24 companies that are considered to impact the Maine economy. These companies are either based in Maine or have an influence on the Maine economy through employment or consumer spending. This price-weighted index offers a numerical breakdown of Maine’s economy. The analysis investigates the events of the week and finds the likely reasons the index went up or down. This index and analysis help provide a better understanding of Maine’s economy as well as explain significant changes in stock prices of the companies that comprise the HSI.</w:t>
      </w:r>
    </w:p>
    <w:p w14:paraId="5C232AF8" w14:textId="77777777" w:rsidR="00E61AD0" w:rsidRPr="002F53BC" w:rsidRDefault="00E61AD0" w:rsidP="00E61AD0">
      <w:pPr>
        <w:rPr>
          <w:rFonts w:ascii="Times New Roman" w:eastAsia="Times New Roman" w:hAnsi="Times New Roman" w:cs="Times New Roman"/>
        </w:rPr>
      </w:pPr>
    </w:p>
    <w:p w14:paraId="4C344602" w14:textId="77777777" w:rsidR="00E61AD0" w:rsidRPr="002F53BC" w:rsidRDefault="00E61AD0" w:rsidP="00E61AD0">
      <w:pPr>
        <w:rPr>
          <w:rFonts w:ascii="Times New Roman" w:eastAsia="Times New Roman" w:hAnsi="Times New Roman" w:cs="Times New Roman"/>
        </w:rPr>
      </w:pPr>
    </w:p>
    <w:p w14:paraId="0C6E935F" w14:textId="77777777" w:rsidR="00E61AD0" w:rsidRPr="002F53BC" w:rsidRDefault="00E61AD0" w:rsidP="00E61AD0">
      <w:pPr>
        <w:rPr>
          <w:rFonts w:ascii="Times New Roman" w:eastAsia="Times New Roman" w:hAnsi="Times New Roman" w:cs="Times New Roman"/>
        </w:rPr>
      </w:pPr>
    </w:p>
    <w:p w14:paraId="0918526C" w14:textId="77777777" w:rsidR="00E61AD0" w:rsidRPr="002F53BC" w:rsidRDefault="00E61AD0" w:rsidP="00E61AD0">
      <w:pPr>
        <w:rPr>
          <w:rFonts w:ascii="Times New Roman" w:eastAsia="Times New Roman" w:hAnsi="Times New Roman" w:cs="Times New Roman"/>
        </w:rPr>
      </w:pPr>
    </w:p>
    <w:p w14:paraId="051EA17A" w14:textId="77777777" w:rsidR="00E61AD0" w:rsidRPr="002F53BC" w:rsidRDefault="00E61AD0" w:rsidP="00E61AD0">
      <w:pPr>
        <w:rPr>
          <w:rFonts w:ascii="Times New Roman" w:eastAsia="Times New Roman" w:hAnsi="Times New Roman" w:cs="Times New Roman"/>
        </w:rPr>
      </w:pPr>
    </w:p>
    <w:p w14:paraId="03256731" w14:textId="77777777" w:rsidR="00E61AD0" w:rsidRPr="002F53BC" w:rsidRDefault="00E61AD0" w:rsidP="00E61AD0">
      <w:pPr>
        <w:rPr>
          <w:rFonts w:ascii="Times New Roman" w:eastAsia="Times New Roman" w:hAnsi="Times New Roman" w:cs="Times New Roman"/>
        </w:rPr>
      </w:pPr>
    </w:p>
    <w:p w14:paraId="4CF47A2C" w14:textId="77777777" w:rsidR="00E61AD0" w:rsidRPr="002F53BC" w:rsidRDefault="00E61AD0" w:rsidP="00E61AD0">
      <w:pPr>
        <w:rPr>
          <w:rFonts w:ascii="Times New Roman" w:eastAsia="Times New Roman" w:hAnsi="Times New Roman" w:cs="Times New Roman"/>
        </w:rPr>
      </w:pPr>
    </w:p>
    <w:p w14:paraId="59FFCCBE" w14:textId="77777777" w:rsidR="00E61AD0" w:rsidRPr="002F53BC" w:rsidRDefault="00E61AD0" w:rsidP="00E61AD0">
      <w:pPr>
        <w:rPr>
          <w:rFonts w:ascii="Times New Roman" w:eastAsia="Times New Roman" w:hAnsi="Times New Roman" w:cs="Times New Roman"/>
        </w:rPr>
      </w:pPr>
    </w:p>
    <w:p w14:paraId="455E6EF0" w14:textId="77777777" w:rsidR="00E61AD0" w:rsidRPr="002F53BC" w:rsidRDefault="00E61AD0" w:rsidP="00E61AD0">
      <w:pPr>
        <w:rPr>
          <w:rFonts w:ascii="Times New Roman" w:eastAsia="Times New Roman" w:hAnsi="Times New Roman" w:cs="Times New Roman"/>
        </w:rPr>
      </w:pPr>
    </w:p>
    <w:p w14:paraId="52D2C5D4" w14:textId="77777777" w:rsidR="00E61AD0" w:rsidRPr="002F53BC" w:rsidRDefault="00E61AD0" w:rsidP="00E61AD0">
      <w:pPr>
        <w:rPr>
          <w:rFonts w:ascii="Times New Roman" w:eastAsia="Times New Roman" w:hAnsi="Times New Roman" w:cs="Times New Roman"/>
        </w:rPr>
      </w:pPr>
    </w:p>
    <w:p w14:paraId="7AFC2B48" w14:textId="77777777" w:rsidR="00E61AD0" w:rsidRPr="002F53BC" w:rsidRDefault="00E61AD0" w:rsidP="00E61AD0">
      <w:pPr>
        <w:rPr>
          <w:rFonts w:ascii="Times New Roman" w:eastAsia="Times New Roman" w:hAnsi="Times New Roman" w:cs="Times New Roman"/>
        </w:rPr>
      </w:pPr>
    </w:p>
    <w:p w14:paraId="37155E1F" w14:textId="77777777" w:rsidR="00E61AD0" w:rsidRPr="002F53BC" w:rsidRDefault="00E61AD0" w:rsidP="00E61AD0">
      <w:pPr>
        <w:rPr>
          <w:rFonts w:ascii="Times New Roman" w:eastAsia="Times New Roman" w:hAnsi="Times New Roman" w:cs="Times New Roman"/>
        </w:rPr>
      </w:pPr>
    </w:p>
    <w:p w14:paraId="49C89391" w14:textId="77777777" w:rsidR="00E61AD0" w:rsidRPr="002F53BC" w:rsidRDefault="00E61AD0" w:rsidP="00E61AD0">
      <w:pPr>
        <w:rPr>
          <w:rFonts w:ascii="Times New Roman" w:eastAsia="Times New Roman" w:hAnsi="Times New Roman" w:cs="Times New Roman"/>
        </w:rPr>
      </w:pPr>
    </w:p>
    <w:p w14:paraId="2ED20661" w14:textId="77777777" w:rsidR="00E61AD0" w:rsidRPr="002F53BC" w:rsidRDefault="00E61AD0" w:rsidP="00E61AD0">
      <w:pPr>
        <w:rPr>
          <w:rFonts w:ascii="Times New Roman" w:eastAsia="Times New Roman" w:hAnsi="Times New Roman" w:cs="Times New Roman"/>
        </w:rPr>
      </w:pPr>
    </w:p>
    <w:p w14:paraId="4A4B95DF" w14:textId="77777777" w:rsidR="00E61AD0" w:rsidRPr="002F53BC" w:rsidRDefault="00E61AD0" w:rsidP="00E61AD0">
      <w:pPr>
        <w:rPr>
          <w:rFonts w:ascii="Times New Roman" w:eastAsia="Times New Roman" w:hAnsi="Times New Roman" w:cs="Times New Roman"/>
        </w:rPr>
      </w:pPr>
    </w:p>
    <w:p w14:paraId="50C175A9" w14:textId="77777777" w:rsidR="00E61AD0" w:rsidRPr="002F53BC" w:rsidRDefault="00E61AD0" w:rsidP="00E61AD0">
      <w:pPr>
        <w:rPr>
          <w:rFonts w:ascii="Times New Roman" w:eastAsia="Times New Roman" w:hAnsi="Times New Roman" w:cs="Times New Roman"/>
        </w:rPr>
      </w:pPr>
    </w:p>
    <w:p w14:paraId="28CBB295" w14:textId="77777777" w:rsidR="00E61AD0" w:rsidRPr="002F53BC" w:rsidRDefault="00E61AD0" w:rsidP="00E61AD0">
      <w:pPr>
        <w:rPr>
          <w:rFonts w:ascii="Times New Roman" w:eastAsia="Times New Roman" w:hAnsi="Times New Roman" w:cs="Times New Roman"/>
        </w:rPr>
      </w:pPr>
    </w:p>
    <w:p w14:paraId="298EBDF8" w14:textId="77777777" w:rsidR="00E61AD0" w:rsidRPr="002F53BC" w:rsidRDefault="00E61AD0" w:rsidP="00E61AD0">
      <w:pPr>
        <w:rPr>
          <w:rFonts w:ascii="Times New Roman" w:eastAsia="Times New Roman" w:hAnsi="Times New Roman" w:cs="Times New Roman"/>
        </w:rPr>
      </w:pPr>
    </w:p>
    <w:p w14:paraId="641AA3A4" w14:textId="77777777" w:rsidR="00E61AD0" w:rsidRPr="002F53BC" w:rsidRDefault="00E61AD0" w:rsidP="00E61AD0">
      <w:pPr>
        <w:rPr>
          <w:rFonts w:ascii="Times New Roman" w:eastAsia="Times New Roman" w:hAnsi="Times New Roman" w:cs="Times New Roman"/>
        </w:rPr>
      </w:pPr>
    </w:p>
    <w:p w14:paraId="6D04AE88" w14:textId="77777777" w:rsidR="00E61AD0" w:rsidRPr="002F53BC" w:rsidRDefault="00E61AD0" w:rsidP="00E61AD0">
      <w:pPr>
        <w:rPr>
          <w:rFonts w:ascii="Times New Roman" w:eastAsia="Times New Roman" w:hAnsi="Times New Roman" w:cs="Times New Roman"/>
        </w:rPr>
      </w:pPr>
    </w:p>
    <w:p w14:paraId="67A87D15" w14:textId="77777777" w:rsidR="00E61AD0" w:rsidRPr="002F53BC" w:rsidRDefault="00E61AD0" w:rsidP="00E61AD0">
      <w:pPr>
        <w:rPr>
          <w:rFonts w:ascii="Times New Roman" w:eastAsia="Times New Roman" w:hAnsi="Times New Roman" w:cs="Times New Roman"/>
        </w:rPr>
      </w:pPr>
    </w:p>
    <w:p w14:paraId="45D37B33" w14:textId="77777777" w:rsidR="00E61AD0" w:rsidRPr="002F53BC" w:rsidRDefault="00E61AD0" w:rsidP="00E61AD0">
      <w:pPr>
        <w:rPr>
          <w:rFonts w:ascii="Times New Roman" w:eastAsia="Times New Roman" w:hAnsi="Times New Roman" w:cs="Times New Roman"/>
        </w:rPr>
      </w:pPr>
    </w:p>
    <w:p w14:paraId="5D2A34EF" w14:textId="77777777" w:rsidR="00E61AD0" w:rsidRPr="002F53BC" w:rsidRDefault="00E61AD0" w:rsidP="00E61AD0">
      <w:pPr>
        <w:rPr>
          <w:rFonts w:ascii="Times New Roman" w:eastAsia="Times New Roman" w:hAnsi="Times New Roman" w:cs="Times New Roman"/>
        </w:rPr>
      </w:pPr>
    </w:p>
    <w:p w14:paraId="373D93C2" w14:textId="77777777" w:rsidR="00E61AD0" w:rsidRPr="002F53BC" w:rsidRDefault="00E61AD0" w:rsidP="00E61AD0">
      <w:pPr>
        <w:rPr>
          <w:rFonts w:ascii="Times New Roman" w:eastAsia="Times New Roman" w:hAnsi="Times New Roman" w:cs="Times New Roman"/>
        </w:rPr>
      </w:pPr>
    </w:p>
    <w:p w14:paraId="505A58A3" w14:textId="77777777" w:rsidR="00E61AD0" w:rsidRPr="002F53BC" w:rsidRDefault="00E61AD0" w:rsidP="00E61AD0">
      <w:pPr>
        <w:rPr>
          <w:rFonts w:ascii="Times New Roman" w:eastAsia="Times New Roman" w:hAnsi="Times New Roman" w:cs="Times New Roman"/>
        </w:rPr>
      </w:pPr>
    </w:p>
    <w:p w14:paraId="350732EB" w14:textId="77777777" w:rsidR="00E61AD0" w:rsidRPr="002F53BC" w:rsidRDefault="00E61AD0" w:rsidP="00E61AD0">
      <w:pPr>
        <w:rPr>
          <w:rFonts w:ascii="Times New Roman" w:eastAsia="Times New Roman" w:hAnsi="Times New Roman" w:cs="Times New Roman"/>
        </w:rPr>
      </w:pPr>
    </w:p>
    <w:p w14:paraId="703922B5" w14:textId="77777777" w:rsidR="00E61AD0" w:rsidRPr="002F53BC" w:rsidRDefault="00E61AD0" w:rsidP="00E61AD0">
      <w:pPr>
        <w:rPr>
          <w:rFonts w:ascii="Times New Roman" w:eastAsia="Times New Roman" w:hAnsi="Times New Roman" w:cs="Times New Roman"/>
        </w:rPr>
      </w:pPr>
    </w:p>
    <w:p w14:paraId="5AF56294" w14:textId="77777777" w:rsidR="00E61AD0" w:rsidRPr="002F53BC" w:rsidRDefault="00E61AD0" w:rsidP="00E61AD0">
      <w:pPr>
        <w:rPr>
          <w:rFonts w:ascii="Times New Roman" w:eastAsia="Times New Roman" w:hAnsi="Times New Roman" w:cs="Times New Roman"/>
        </w:rPr>
      </w:pPr>
    </w:p>
    <w:p w14:paraId="12D3A61A" w14:textId="77777777" w:rsidR="00E61AD0" w:rsidRPr="002F53BC" w:rsidRDefault="00E61AD0" w:rsidP="00E61AD0">
      <w:pPr>
        <w:rPr>
          <w:rFonts w:ascii="Times New Roman" w:eastAsia="Times New Roman" w:hAnsi="Times New Roman" w:cs="Times New Roman"/>
        </w:rPr>
      </w:pPr>
    </w:p>
    <w:p w14:paraId="5C980138" w14:textId="77777777" w:rsidR="00E61AD0" w:rsidRPr="002F53BC" w:rsidRDefault="00E61AD0" w:rsidP="00E61AD0">
      <w:pPr>
        <w:rPr>
          <w:rFonts w:ascii="Times New Roman" w:eastAsia="Times New Roman" w:hAnsi="Times New Roman" w:cs="Times New Roman"/>
        </w:rPr>
      </w:pPr>
    </w:p>
    <w:p w14:paraId="4E73B003" w14:textId="77777777" w:rsidR="00E61AD0" w:rsidRPr="002F53BC" w:rsidRDefault="00E61AD0" w:rsidP="00E61AD0">
      <w:pPr>
        <w:rPr>
          <w:rFonts w:ascii="Times New Roman" w:eastAsia="Times New Roman" w:hAnsi="Times New Roman" w:cs="Times New Roman"/>
        </w:rPr>
      </w:pPr>
    </w:p>
    <w:p w14:paraId="473447CB" w14:textId="77777777" w:rsidR="00E61AD0" w:rsidRPr="002F53BC" w:rsidRDefault="00E61AD0" w:rsidP="00E61AD0">
      <w:pPr>
        <w:rPr>
          <w:rFonts w:ascii="Times New Roman" w:eastAsia="Times New Roman" w:hAnsi="Times New Roman" w:cs="Times New Roman"/>
        </w:rPr>
      </w:pPr>
    </w:p>
    <w:p w14:paraId="3BB31562" w14:textId="77777777" w:rsidR="00E61AD0" w:rsidRPr="002F53BC" w:rsidRDefault="00E61AD0" w:rsidP="00E61AD0">
      <w:pPr>
        <w:rPr>
          <w:rFonts w:ascii="Times New Roman" w:eastAsia="Times New Roman" w:hAnsi="Times New Roman" w:cs="Times New Roman"/>
        </w:rPr>
      </w:pPr>
    </w:p>
    <w:p w14:paraId="604813E3" w14:textId="77777777" w:rsidR="00E61AD0" w:rsidRPr="002F53BC" w:rsidRDefault="00E61AD0" w:rsidP="00E61AD0">
      <w:pPr>
        <w:rPr>
          <w:rFonts w:ascii="Times New Roman" w:eastAsia="Times New Roman" w:hAnsi="Times New Roman" w:cs="Times New Roman"/>
        </w:rPr>
      </w:pPr>
    </w:p>
    <w:p w14:paraId="482FC9A6" w14:textId="77777777" w:rsidR="00E61AD0" w:rsidRPr="002F53BC" w:rsidRDefault="00E61AD0" w:rsidP="00E61AD0">
      <w:pPr>
        <w:jc w:val="center"/>
        <w:rPr>
          <w:rFonts w:ascii="Times New Roman" w:eastAsia="Times New Roman" w:hAnsi="Times New Roman" w:cs="Times New Roman"/>
          <w:b/>
          <w:bCs/>
          <w:lang w:val="en-US"/>
        </w:rPr>
      </w:pPr>
      <w:r w:rsidRPr="002F53BC">
        <w:rPr>
          <w:rFonts w:ascii="Times New Roman" w:eastAsia="Times New Roman" w:hAnsi="Times New Roman" w:cs="Times New Roman"/>
          <w:b/>
          <w:bCs/>
          <w:lang w:val="en-US"/>
        </w:rPr>
        <w:lastRenderedPageBreak/>
        <w:t>References</w:t>
      </w:r>
    </w:p>
    <w:p w14:paraId="6C57CB81" w14:textId="77777777" w:rsidR="00E61AD0" w:rsidRPr="003B0271" w:rsidRDefault="00E61AD0" w:rsidP="00E61AD0">
      <w:pPr>
        <w:ind w:left="720" w:hanging="720"/>
        <w:rPr>
          <w:rFonts w:ascii="Times New Roman" w:eastAsia="Times New Roman" w:hAnsi="Times New Roman" w:cs="Times New Roman"/>
          <w:lang w:val="en-US"/>
        </w:rPr>
      </w:pPr>
      <w:r w:rsidRPr="003B0271">
        <w:rPr>
          <w:rFonts w:ascii="Times New Roman" w:eastAsia="Times New Roman" w:hAnsi="Times New Roman" w:cs="Times New Roman"/>
          <w:lang w:val="en-US"/>
        </w:rPr>
        <w:t xml:space="preserve">Bank of America stock slides after CEO's troubling message. (2026, September 14). </w:t>
      </w:r>
      <w:r w:rsidRPr="003B0271">
        <w:rPr>
          <w:rFonts w:ascii="Times New Roman" w:eastAsia="Times New Roman" w:hAnsi="Times New Roman" w:cs="Times New Roman"/>
          <w:i/>
          <w:iCs/>
          <w:lang w:val="en-US"/>
        </w:rPr>
        <w:t>TheStreet</w:t>
      </w:r>
      <w:r w:rsidRPr="003B0271">
        <w:rPr>
          <w:rFonts w:ascii="Times New Roman" w:eastAsia="Times New Roman" w:hAnsi="Times New Roman" w:cs="Times New Roman"/>
          <w:lang w:val="en-US"/>
        </w:rPr>
        <w:t>.</w:t>
      </w:r>
      <w:r>
        <w:rPr>
          <w:rFonts w:ascii="Times New Roman" w:eastAsia="Times New Roman" w:hAnsi="Times New Roman" w:cs="Times New Roman"/>
          <w:lang w:val="en-US"/>
        </w:rPr>
        <w:t xml:space="preserve"> </w:t>
      </w:r>
      <w:hyperlink r:id="rId4" w:history="1">
        <w:r w:rsidRPr="009B2CE0">
          <w:rPr>
            <w:rStyle w:val="Hyperlink"/>
            <w:rFonts w:ascii="Times New Roman" w:eastAsia="Times New Roman" w:hAnsi="Times New Roman" w:cs="Times New Roman"/>
            <w:lang w:val="en-US"/>
          </w:rPr>
          <w:t>https://www.thestreet.com/investing/stocks/bank-of-america-stock-slides-after-investment-banking-fees-decline</w:t>
        </w:r>
      </w:hyperlink>
    </w:p>
    <w:p w14:paraId="7F270AC5" w14:textId="77777777" w:rsidR="00E61AD0" w:rsidRPr="003B0271" w:rsidRDefault="00E61AD0" w:rsidP="00E61AD0">
      <w:pPr>
        <w:ind w:left="720" w:hanging="720"/>
        <w:rPr>
          <w:rFonts w:ascii="Times New Roman" w:eastAsia="Times New Roman" w:hAnsi="Times New Roman" w:cs="Times New Roman"/>
          <w:lang w:val="en-US"/>
        </w:rPr>
      </w:pPr>
      <w:r w:rsidRPr="003B0271">
        <w:rPr>
          <w:rFonts w:ascii="Times New Roman" w:eastAsia="Times New Roman" w:hAnsi="Times New Roman" w:cs="Times New Roman"/>
          <w:lang w:val="en-US"/>
        </w:rPr>
        <w:t>Bank of America's (</w:t>
      </w:r>
      <w:proofErr w:type="gramStart"/>
      <w:r w:rsidRPr="003B0271">
        <w:rPr>
          <w:rFonts w:ascii="Times New Roman" w:eastAsia="Times New Roman" w:hAnsi="Times New Roman" w:cs="Times New Roman"/>
          <w:lang w:val="en-US"/>
        </w:rPr>
        <w:t>NYSE:BAC</w:t>
      </w:r>
      <w:proofErr w:type="gramEnd"/>
      <w:r w:rsidRPr="003B0271">
        <w:rPr>
          <w:rFonts w:ascii="Times New Roman" w:eastAsia="Times New Roman" w:hAnsi="Times New Roman" w:cs="Times New Roman"/>
          <w:lang w:val="en-US"/>
        </w:rPr>
        <w:t xml:space="preserve">) Q2 CY2026: Beats on revenue. (2026, July 14). </w:t>
      </w:r>
      <w:proofErr w:type="spellStart"/>
      <w:r w:rsidRPr="003B0271">
        <w:rPr>
          <w:rFonts w:ascii="Times New Roman" w:eastAsia="Times New Roman" w:hAnsi="Times New Roman" w:cs="Times New Roman"/>
          <w:i/>
          <w:iCs/>
          <w:lang w:val="en-US"/>
        </w:rPr>
        <w:t>StockStory</w:t>
      </w:r>
      <w:proofErr w:type="spellEnd"/>
      <w:r w:rsidRPr="003B0271">
        <w:rPr>
          <w:rFonts w:ascii="Times New Roman" w:eastAsia="Times New Roman" w:hAnsi="Times New Roman" w:cs="Times New Roman"/>
          <w:lang w:val="en-US"/>
        </w:rPr>
        <w:t>.</w:t>
      </w:r>
      <w:r>
        <w:rPr>
          <w:rFonts w:ascii="Times New Roman" w:eastAsia="Times New Roman" w:hAnsi="Times New Roman" w:cs="Times New Roman"/>
          <w:lang w:val="en-US"/>
        </w:rPr>
        <w:t xml:space="preserve"> </w:t>
      </w:r>
      <w:hyperlink r:id="rId5" w:history="1">
        <w:r w:rsidRPr="009B2CE0">
          <w:rPr>
            <w:rStyle w:val="Hyperlink"/>
            <w:rFonts w:ascii="Times New Roman" w:eastAsia="Times New Roman" w:hAnsi="Times New Roman" w:cs="Times New Roman"/>
            <w:lang w:val="en-US"/>
          </w:rPr>
          <w:t>https://stockstory.org/us/stocks/nyse/bac/news/earnings/bank-of-americas-nysebac-q2-cy2026-beats-on-revenue</w:t>
        </w:r>
      </w:hyperlink>
    </w:p>
    <w:p w14:paraId="17D531F6" w14:textId="77777777" w:rsidR="00E61AD0" w:rsidRPr="003B0271" w:rsidRDefault="00E61AD0" w:rsidP="00E61AD0">
      <w:pPr>
        <w:ind w:left="720" w:hanging="720"/>
        <w:rPr>
          <w:rFonts w:ascii="Times New Roman" w:eastAsia="Times New Roman" w:hAnsi="Times New Roman" w:cs="Times New Roman"/>
          <w:lang w:val="en-US"/>
        </w:rPr>
      </w:pPr>
      <w:r w:rsidRPr="003B0271">
        <w:rPr>
          <w:rFonts w:ascii="Times New Roman" w:eastAsia="Times New Roman" w:hAnsi="Times New Roman" w:cs="Times New Roman"/>
          <w:lang w:val="en-US"/>
        </w:rPr>
        <w:t xml:space="preserve">Valero Energy stock gains on board expansion and strong Q2 margins. (2026, September 18). </w:t>
      </w:r>
      <w:r w:rsidRPr="003B0271">
        <w:rPr>
          <w:rFonts w:ascii="Times New Roman" w:eastAsia="Times New Roman" w:hAnsi="Times New Roman" w:cs="Times New Roman"/>
          <w:i/>
          <w:iCs/>
          <w:lang w:val="en-US"/>
        </w:rPr>
        <w:t>ad-hoc-news</w:t>
      </w:r>
      <w:r w:rsidRPr="003B0271">
        <w:rPr>
          <w:rFonts w:ascii="Times New Roman" w:eastAsia="Times New Roman" w:hAnsi="Times New Roman" w:cs="Times New Roman"/>
          <w:lang w:val="en-US"/>
        </w:rPr>
        <w:t>.</w:t>
      </w:r>
      <w:r>
        <w:rPr>
          <w:rFonts w:ascii="Times New Roman" w:eastAsia="Times New Roman" w:hAnsi="Times New Roman" w:cs="Times New Roman"/>
          <w:lang w:val="en-US"/>
        </w:rPr>
        <w:t xml:space="preserve"> </w:t>
      </w:r>
      <w:hyperlink r:id="rId6" w:history="1">
        <w:r w:rsidRPr="009B2CE0">
          <w:rPr>
            <w:rStyle w:val="Hyperlink"/>
            <w:rFonts w:ascii="Times New Roman" w:eastAsia="Times New Roman" w:hAnsi="Times New Roman" w:cs="Times New Roman"/>
            <w:lang w:val="en-US"/>
          </w:rPr>
          <w:t>https://www.ad-hoc-news.de/boerse/news/corporate-news/valero-energy-stock-gains-on-board-expansion-and-strong-q2-margins/70128580</w:t>
        </w:r>
      </w:hyperlink>
    </w:p>
    <w:p w14:paraId="68EA70B9" w14:textId="77777777" w:rsidR="00E61AD0" w:rsidRPr="002F53BC" w:rsidRDefault="00E61AD0" w:rsidP="00E61AD0">
      <w:pPr>
        <w:ind w:left="720" w:hanging="720"/>
        <w:rPr>
          <w:rFonts w:ascii="Times New Roman" w:eastAsia="Times New Roman" w:hAnsi="Times New Roman" w:cs="Times New Roman"/>
        </w:rPr>
      </w:pPr>
    </w:p>
    <w:p w14:paraId="04F3588E" w14:textId="77777777" w:rsidR="00E61AD0" w:rsidRPr="002F53BC" w:rsidRDefault="00E61AD0" w:rsidP="00E61AD0">
      <w:pPr>
        <w:rPr>
          <w:rFonts w:ascii="Times New Roman" w:eastAsia="Times New Roman" w:hAnsi="Times New Roman" w:cs="Times New Roman"/>
        </w:rPr>
      </w:pPr>
    </w:p>
    <w:p w14:paraId="0698EFEB" w14:textId="77777777" w:rsidR="00E61AD0" w:rsidRPr="002F53BC" w:rsidRDefault="00E61AD0" w:rsidP="00E61AD0">
      <w:pPr>
        <w:rPr>
          <w:rFonts w:ascii="Times New Roman" w:eastAsia="Times New Roman" w:hAnsi="Times New Roman" w:cs="Times New Roman"/>
        </w:rPr>
      </w:pPr>
    </w:p>
    <w:p w14:paraId="3438C3EB" w14:textId="77777777" w:rsidR="00E61AD0" w:rsidRPr="002F53BC" w:rsidRDefault="00E61AD0" w:rsidP="00E61AD0">
      <w:pPr>
        <w:rPr>
          <w:rFonts w:ascii="Times New Roman" w:eastAsia="Times New Roman" w:hAnsi="Times New Roman" w:cs="Times New Roman"/>
        </w:rPr>
      </w:pPr>
    </w:p>
    <w:p w14:paraId="00C0D508" w14:textId="77777777" w:rsidR="00E61AD0" w:rsidRPr="002F53BC" w:rsidRDefault="00E61AD0" w:rsidP="00E61AD0">
      <w:pPr>
        <w:rPr>
          <w:rFonts w:ascii="Times New Roman" w:eastAsia="Times New Roman" w:hAnsi="Times New Roman" w:cs="Times New Roman"/>
        </w:rPr>
      </w:pPr>
    </w:p>
    <w:p w14:paraId="00B95267" w14:textId="77777777" w:rsidR="00E61AD0" w:rsidRPr="002F53BC" w:rsidRDefault="00E61AD0" w:rsidP="00E61AD0">
      <w:pPr>
        <w:rPr>
          <w:rFonts w:ascii="Times New Roman" w:eastAsia="Times New Roman" w:hAnsi="Times New Roman" w:cs="Times New Roman"/>
        </w:rPr>
      </w:pPr>
    </w:p>
    <w:p w14:paraId="609AD943" w14:textId="77777777" w:rsidR="00E61AD0" w:rsidRPr="002F53BC" w:rsidRDefault="00E61AD0" w:rsidP="00E61AD0">
      <w:pPr>
        <w:rPr>
          <w:rFonts w:ascii="Times New Roman" w:eastAsia="Times New Roman" w:hAnsi="Times New Roman" w:cs="Times New Roman"/>
        </w:rPr>
      </w:pPr>
    </w:p>
    <w:p w14:paraId="2F8DCC3F" w14:textId="77777777" w:rsidR="00E61AD0" w:rsidRPr="002F53BC" w:rsidRDefault="00E61AD0" w:rsidP="00E61AD0">
      <w:pPr>
        <w:rPr>
          <w:rFonts w:ascii="Times New Roman" w:eastAsia="Times New Roman" w:hAnsi="Times New Roman" w:cs="Times New Roman"/>
        </w:rPr>
      </w:pPr>
    </w:p>
    <w:p w14:paraId="6DE16380" w14:textId="77777777" w:rsidR="00E61AD0" w:rsidRPr="002F53BC" w:rsidRDefault="00E61AD0" w:rsidP="00E61AD0">
      <w:pPr>
        <w:rPr>
          <w:rFonts w:ascii="Times New Roman" w:eastAsia="Times New Roman" w:hAnsi="Times New Roman" w:cs="Times New Roman"/>
        </w:rPr>
      </w:pPr>
    </w:p>
    <w:p w14:paraId="7AB324CD" w14:textId="77777777" w:rsidR="00E61AD0" w:rsidRPr="002F53BC" w:rsidRDefault="00E61AD0" w:rsidP="00E61AD0">
      <w:pPr>
        <w:rPr>
          <w:rFonts w:ascii="Times New Roman" w:eastAsia="Times New Roman" w:hAnsi="Times New Roman" w:cs="Times New Roman"/>
        </w:rPr>
      </w:pPr>
    </w:p>
    <w:p w14:paraId="4597BDB0" w14:textId="77777777" w:rsidR="00E61AD0" w:rsidRPr="002F53BC" w:rsidRDefault="00E61AD0" w:rsidP="00E61AD0">
      <w:pPr>
        <w:rPr>
          <w:rFonts w:ascii="Times New Roman" w:eastAsia="Times New Roman" w:hAnsi="Times New Roman" w:cs="Times New Roman"/>
        </w:rPr>
      </w:pPr>
    </w:p>
    <w:p w14:paraId="6954F475" w14:textId="77777777" w:rsidR="00E61AD0" w:rsidRPr="002F53BC" w:rsidRDefault="00E61AD0" w:rsidP="00E61AD0">
      <w:pPr>
        <w:rPr>
          <w:rFonts w:ascii="Times New Roman" w:eastAsia="Times New Roman" w:hAnsi="Times New Roman" w:cs="Times New Roman"/>
        </w:rPr>
      </w:pPr>
    </w:p>
    <w:p w14:paraId="7B331F71" w14:textId="77777777" w:rsidR="00E61AD0" w:rsidRPr="002F53BC" w:rsidRDefault="00E61AD0" w:rsidP="00E61AD0">
      <w:pPr>
        <w:rPr>
          <w:rFonts w:ascii="Times New Roman" w:eastAsia="Times New Roman" w:hAnsi="Times New Roman" w:cs="Times New Roman"/>
        </w:rPr>
      </w:pPr>
    </w:p>
    <w:p w14:paraId="734A2450" w14:textId="77777777" w:rsidR="00E61AD0" w:rsidRPr="002F53BC" w:rsidRDefault="00E61AD0" w:rsidP="00E61AD0">
      <w:pPr>
        <w:rPr>
          <w:rFonts w:ascii="Times New Roman" w:eastAsia="Times New Roman" w:hAnsi="Times New Roman" w:cs="Times New Roman"/>
        </w:rPr>
      </w:pPr>
    </w:p>
    <w:p w14:paraId="7E601169" w14:textId="77777777" w:rsidR="00E61AD0" w:rsidRPr="002F53BC" w:rsidRDefault="00E61AD0" w:rsidP="00E61AD0">
      <w:pPr>
        <w:rPr>
          <w:rFonts w:ascii="Times New Roman" w:eastAsia="Times New Roman" w:hAnsi="Times New Roman" w:cs="Times New Roman"/>
        </w:rPr>
      </w:pPr>
    </w:p>
    <w:p w14:paraId="4688EF31" w14:textId="77777777" w:rsidR="00E61AD0" w:rsidRPr="002F53BC" w:rsidRDefault="00E61AD0" w:rsidP="00E61AD0">
      <w:pPr>
        <w:rPr>
          <w:rFonts w:ascii="Times New Roman" w:eastAsia="Times New Roman" w:hAnsi="Times New Roman" w:cs="Times New Roman"/>
        </w:rPr>
      </w:pPr>
    </w:p>
    <w:p w14:paraId="0E4D02FF" w14:textId="77777777" w:rsidR="00E61AD0" w:rsidRPr="002F53BC" w:rsidRDefault="00E61AD0" w:rsidP="00E61AD0">
      <w:pPr>
        <w:rPr>
          <w:rFonts w:ascii="Times New Roman" w:eastAsia="Times New Roman" w:hAnsi="Times New Roman" w:cs="Times New Roman"/>
        </w:rPr>
      </w:pPr>
    </w:p>
    <w:p w14:paraId="3B789C19" w14:textId="77777777" w:rsidR="00E61AD0" w:rsidRPr="002F53BC" w:rsidRDefault="00E61AD0" w:rsidP="00E61AD0">
      <w:pPr>
        <w:rPr>
          <w:rFonts w:ascii="Times New Roman" w:eastAsia="Times New Roman" w:hAnsi="Times New Roman" w:cs="Times New Roman"/>
        </w:rPr>
      </w:pPr>
    </w:p>
    <w:p w14:paraId="1D092C0C" w14:textId="77777777" w:rsidR="00E61AD0" w:rsidRPr="002F53BC" w:rsidRDefault="00E61AD0" w:rsidP="00E61AD0">
      <w:pPr>
        <w:rPr>
          <w:rFonts w:ascii="Times New Roman" w:eastAsia="Times New Roman" w:hAnsi="Times New Roman" w:cs="Times New Roman"/>
        </w:rPr>
      </w:pPr>
    </w:p>
    <w:p w14:paraId="03EB8E59" w14:textId="77777777" w:rsidR="00E61AD0" w:rsidRPr="002F53BC" w:rsidRDefault="00E61AD0" w:rsidP="00E61AD0">
      <w:pPr>
        <w:rPr>
          <w:rFonts w:ascii="Times New Roman" w:eastAsia="Times New Roman" w:hAnsi="Times New Roman" w:cs="Times New Roman"/>
        </w:rPr>
      </w:pPr>
    </w:p>
    <w:p w14:paraId="7EC09278" w14:textId="77777777" w:rsidR="00E61AD0" w:rsidRPr="002F53BC" w:rsidRDefault="00E61AD0" w:rsidP="00E61AD0">
      <w:pPr>
        <w:rPr>
          <w:rFonts w:ascii="Times New Roman" w:eastAsia="Times New Roman" w:hAnsi="Times New Roman" w:cs="Times New Roman"/>
        </w:rPr>
      </w:pPr>
    </w:p>
    <w:p w14:paraId="3CBFF0E4" w14:textId="77777777" w:rsidR="00E61AD0" w:rsidRPr="002F53BC" w:rsidRDefault="00E61AD0" w:rsidP="00E61AD0">
      <w:pPr>
        <w:rPr>
          <w:rFonts w:ascii="Times New Roman" w:eastAsia="Times New Roman" w:hAnsi="Times New Roman" w:cs="Times New Roman"/>
        </w:rPr>
      </w:pPr>
    </w:p>
    <w:p w14:paraId="2A8938DD" w14:textId="77777777" w:rsidR="00E61AD0" w:rsidRPr="002F53BC" w:rsidRDefault="00E61AD0" w:rsidP="00E61AD0">
      <w:pPr>
        <w:rPr>
          <w:rFonts w:ascii="Times New Roman" w:eastAsia="Times New Roman" w:hAnsi="Times New Roman" w:cs="Times New Roman"/>
        </w:rPr>
      </w:pPr>
    </w:p>
    <w:p w14:paraId="6D574E8C" w14:textId="77777777" w:rsidR="00E61AD0" w:rsidRPr="002F53BC" w:rsidRDefault="00E61AD0" w:rsidP="00E61AD0">
      <w:pPr>
        <w:rPr>
          <w:rFonts w:ascii="Times New Roman" w:eastAsia="Times New Roman" w:hAnsi="Times New Roman" w:cs="Times New Roman"/>
        </w:rPr>
      </w:pPr>
    </w:p>
    <w:p w14:paraId="496D5003" w14:textId="77777777" w:rsidR="00E61AD0" w:rsidRPr="002F53BC" w:rsidRDefault="00E61AD0" w:rsidP="00E61AD0">
      <w:pPr>
        <w:rPr>
          <w:rFonts w:ascii="Times New Roman" w:eastAsia="Times New Roman" w:hAnsi="Times New Roman" w:cs="Times New Roman"/>
        </w:rPr>
      </w:pPr>
    </w:p>
    <w:p w14:paraId="01A36660" w14:textId="77777777" w:rsidR="00E61AD0" w:rsidRPr="002F53BC" w:rsidRDefault="00E61AD0" w:rsidP="00E61AD0">
      <w:pPr>
        <w:rPr>
          <w:rFonts w:ascii="Times New Roman" w:eastAsia="Times New Roman" w:hAnsi="Times New Roman" w:cs="Times New Roman"/>
        </w:rPr>
      </w:pPr>
    </w:p>
    <w:p w14:paraId="749B17D6" w14:textId="77777777" w:rsidR="00E61AD0" w:rsidRPr="002F53BC" w:rsidRDefault="00E61AD0" w:rsidP="00E61AD0">
      <w:pPr>
        <w:rPr>
          <w:rFonts w:ascii="Times New Roman" w:eastAsia="Times New Roman" w:hAnsi="Times New Roman" w:cs="Times New Roman"/>
        </w:rPr>
      </w:pPr>
    </w:p>
    <w:p w14:paraId="7CEE57F6" w14:textId="77777777" w:rsidR="00E61AD0" w:rsidRPr="002F53BC" w:rsidRDefault="00E61AD0" w:rsidP="00E61AD0">
      <w:pPr>
        <w:spacing w:after="160" w:line="278" w:lineRule="auto"/>
        <w:rPr>
          <w:rFonts w:ascii="Times New Roman" w:eastAsia="Times New Roman" w:hAnsi="Times New Roman" w:cs="Times New Roman"/>
        </w:rPr>
      </w:pPr>
    </w:p>
    <w:p w14:paraId="5EB18169" w14:textId="77777777" w:rsidR="00E61AD0" w:rsidRPr="002F53BC" w:rsidRDefault="00E61AD0" w:rsidP="00E61AD0">
      <w:pPr>
        <w:spacing w:after="160" w:line="278" w:lineRule="auto"/>
        <w:rPr>
          <w:rFonts w:ascii="Times New Roman" w:eastAsia="Times New Roman" w:hAnsi="Times New Roman" w:cs="Times New Roman"/>
        </w:rPr>
      </w:pPr>
    </w:p>
    <w:p w14:paraId="5ABE7B86" w14:textId="77777777" w:rsidR="00E61AD0" w:rsidRDefault="00E61AD0" w:rsidP="00E61AD0">
      <w:pPr>
        <w:rPr>
          <w:rFonts w:ascii="Times New Roman" w:eastAsia="Times New Roman" w:hAnsi="Times New Roman" w:cs="Times New Roman"/>
        </w:rPr>
      </w:pPr>
    </w:p>
    <w:p w14:paraId="5895B079" w14:textId="77777777" w:rsidR="00E61AD0" w:rsidRPr="002F53BC" w:rsidRDefault="00E61AD0" w:rsidP="00E61AD0">
      <w:pPr>
        <w:rPr>
          <w:rFonts w:ascii="Times New Roman" w:eastAsia="Times New Roman" w:hAnsi="Times New Roman" w:cs="Times New Roman"/>
        </w:rPr>
      </w:pPr>
    </w:p>
    <w:p w14:paraId="01A00846" w14:textId="77777777" w:rsidR="00E61AD0" w:rsidRPr="002F53BC" w:rsidRDefault="00E61AD0" w:rsidP="00E61AD0">
      <w:pPr>
        <w:jc w:val="center"/>
        <w:rPr>
          <w:rFonts w:ascii="Times New Roman" w:eastAsia="Times New Roman" w:hAnsi="Times New Roman" w:cs="Times New Roman"/>
          <w:b/>
          <w:bCs/>
        </w:rPr>
      </w:pPr>
      <w:r w:rsidRPr="002F53BC">
        <w:rPr>
          <w:rFonts w:ascii="Times New Roman" w:eastAsia="Times New Roman" w:hAnsi="Times New Roman" w:cs="Times New Roman"/>
          <w:b/>
          <w:bCs/>
        </w:rPr>
        <w:t>Composition of Husson Stock Index (HSI)</w:t>
      </w:r>
    </w:p>
    <w:tbl>
      <w:tblPr>
        <w:tblW w:w="9360" w:type="dxa"/>
        <w:tblInd w:w="-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E61AD0" w:rsidRPr="002F53BC" w14:paraId="1CA87E5E" w14:textId="77777777" w:rsidTr="00EF0CD2">
        <w:tc>
          <w:tcPr>
            <w:tcW w:w="2340" w:type="dxa"/>
            <w:tcMar>
              <w:top w:w="100" w:type="dxa"/>
              <w:left w:w="100" w:type="dxa"/>
              <w:bottom w:w="100" w:type="dxa"/>
              <w:right w:w="100" w:type="dxa"/>
            </w:tcMar>
          </w:tcPr>
          <w:p w14:paraId="736A11A2" w14:textId="77777777" w:rsidR="00E61AD0" w:rsidRPr="002F53BC" w:rsidRDefault="00E61AD0" w:rsidP="00EF0CD2">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lastRenderedPageBreak/>
              <w:t>Ticker Symbol &amp; Exchange:</w:t>
            </w:r>
          </w:p>
        </w:tc>
        <w:tc>
          <w:tcPr>
            <w:tcW w:w="2340" w:type="dxa"/>
            <w:tcMar>
              <w:top w:w="100" w:type="dxa"/>
              <w:left w:w="100" w:type="dxa"/>
              <w:bottom w:w="100" w:type="dxa"/>
              <w:right w:w="100" w:type="dxa"/>
            </w:tcMar>
          </w:tcPr>
          <w:p w14:paraId="47337A80" w14:textId="77777777" w:rsidR="00E61AD0" w:rsidRPr="002F53BC" w:rsidRDefault="00E61AD0" w:rsidP="00EF0CD2">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Stock:</w:t>
            </w:r>
          </w:p>
        </w:tc>
        <w:tc>
          <w:tcPr>
            <w:tcW w:w="2340" w:type="dxa"/>
            <w:tcMar>
              <w:top w:w="100" w:type="dxa"/>
              <w:left w:w="100" w:type="dxa"/>
              <w:bottom w:w="100" w:type="dxa"/>
              <w:right w:w="100" w:type="dxa"/>
            </w:tcMar>
          </w:tcPr>
          <w:p w14:paraId="1CEF4F41" w14:textId="77777777" w:rsidR="00E61AD0" w:rsidRPr="002F53BC" w:rsidRDefault="00E61AD0" w:rsidP="00EF0CD2">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Maine Affiliation:</w:t>
            </w:r>
          </w:p>
        </w:tc>
        <w:tc>
          <w:tcPr>
            <w:tcW w:w="2340" w:type="dxa"/>
            <w:tcMar>
              <w:top w:w="100" w:type="dxa"/>
              <w:left w:w="100" w:type="dxa"/>
              <w:bottom w:w="100" w:type="dxa"/>
              <w:right w:w="100" w:type="dxa"/>
            </w:tcMar>
          </w:tcPr>
          <w:p w14:paraId="23C0206B" w14:textId="77777777" w:rsidR="00E61AD0" w:rsidRPr="002F53BC" w:rsidRDefault="00E61AD0" w:rsidP="00EF0CD2">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Sector:</w:t>
            </w:r>
          </w:p>
        </w:tc>
      </w:tr>
      <w:tr w:rsidR="00E61AD0" w:rsidRPr="002F53BC" w14:paraId="4BE376EC" w14:textId="77777777" w:rsidTr="00EF0CD2">
        <w:tc>
          <w:tcPr>
            <w:tcW w:w="2340" w:type="dxa"/>
            <w:tcMar>
              <w:top w:w="100" w:type="dxa"/>
              <w:left w:w="100" w:type="dxa"/>
              <w:bottom w:w="100" w:type="dxa"/>
              <w:right w:w="100" w:type="dxa"/>
            </w:tcMar>
          </w:tcPr>
          <w:p w14:paraId="0704994B"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BAC: NYSE</w:t>
            </w:r>
          </w:p>
        </w:tc>
        <w:tc>
          <w:tcPr>
            <w:tcW w:w="2340" w:type="dxa"/>
            <w:tcMar>
              <w:top w:w="100" w:type="dxa"/>
              <w:left w:w="100" w:type="dxa"/>
              <w:bottom w:w="100" w:type="dxa"/>
              <w:right w:w="100" w:type="dxa"/>
            </w:tcMar>
          </w:tcPr>
          <w:p w14:paraId="56798E1D"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Bank of America Corp</w:t>
            </w:r>
          </w:p>
        </w:tc>
        <w:tc>
          <w:tcPr>
            <w:tcW w:w="2340" w:type="dxa"/>
            <w:tcMar>
              <w:top w:w="100" w:type="dxa"/>
              <w:left w:w="100" w:type="dxa"/>
              <w:bottom w:w="100" w:type="dxa"/>
              <w:right w:w="100" w:type="dxa"/>
            </w:tcMar>
          </w:tcPr>
          <w:p w14:paraId="104DCD66"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3CD73E3"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E61AD0" w:rsidRPr="002F53BC" w14:paraId="42CE52E9" w14:textId="77777777" w:rsidTr="00EF0CD2">
        <w:tc>
          <w:tcPr>
            <w:tcW w:w="2340" w:type="dxa"/>
            <w:tcMar>
              <w:top w:w="100" w:type="dxa"/>
              <w:left w:w="100" w:type="dxa"/>
              <w:bottom w:w="100" w:type="dxa"/>
              <w:right w:w="100" w:type="dxa"/>
            </w:tcMar>
          </w:tcPr>
          <w:p w14:paraId="7056230F"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BHB: NYSE</w:t>
            </w:r>
          </w:p>
        </w:tc>
        <w:tc>
          <w:tcPr>
            <w:tcW w:w="2340" w:type="dxa"/>
            <w:tcMar>
              <w:top w:w="100" w:type="dxa"/>
              <w:left w:w="100" w:type="dxa"/>
              <w:bottom w:w="100" w:type="dxa"/>
              <w:right w:w="100" w:type="dxa"/>
            </w:tcMar>
          </w:tcPr>
          <w:p w14:paraId="338BE2CC"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 xml:space="preserve">Bar Harbor </w:t>
            </w:r>
            <w:proofErr w:type="spellStart"/>
            <w:r w:rsidRPr="002F53BC">
              <w:rPr>
                <w:rFonts w:ascii="Times New Roman" w:eastAsia="Times New Roman" w:hAnsi="Times New Roman" w:cs="Times New Roman"/>
              </w:rPr>
              <w:t>Bankshares</w:t>
            </w:r>
            <w:proofErr w:type="spellEnd"/>
          </w:p>
        </w:tc>
        <w:tc>
          <w:tcPr>
            <w:tcW w:w="2340" w:type="dxa"/>
            <w:tcMar>
              <w:top w:w="100" w:type="dxa"/>
              <w:left w:w="100" w:type="dxa"/>
              <w:bottom w:w="100" w:type="dxa"/>
              <w:right w:w="100" w:type="dxa"/>
            </w:tcMar>
          </w:tcPr>
          <w:p w14:paraId="188878C4"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468DA3B6"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E61AD0" w:rsidRPr="002F53BC" w14:paraId="4A59D008" w14:textId="77777777" w:rsidTr="00EF0CD2">
        <w:tc>
          <w:tcPr>
            <w:tcW w:w="2340" w:type="dxa"/>
            <w:tcMar>
              <w:top w:w="100" w:type="dxa"/>
              <w:left w:w="100" w:type="dxa"/>
              <w:bottom w:w="100" w:type="dxa"/>
              <w:right w:w="100" w:type="dxa"/>
            </w:tcMar>
          </w:tcPr>
          <w:p w14:paraId="004F8DAA"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CAC: NASDAQ</w:t>
            </w:r>
          </w:p>
        </w:tc>
        <w:tc>
          <w:tcPr>
            <w:tcW w:w="2340" w:type="dxa"/>
            <w:tcMar>
              <w:top w:w="100" w:type="dxa"/>
              <w:left w:w="100" w:type="dxa"/>
              <w:bottom w:w="100" w:type="dxa"/>
              <w:right w:w="100" w:type="dxa"/>
            </w:tcMar>
          </w:tcPr>
          <w:p w14:paraId="06FA5E25"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Camden National Corporation</w:t>
            </w:r>
          </w:p>
        </w:tc>
        <w:tc>
          <w:tcPr>
            <w:tcW w:w="2340" w:type="dxa"/>
            <w:tcMar>
              <w:top w:w="100" w:type="dxa"/>
              <w:left w:w="100" w:type="dxa"/>
              <w:bottom w:w="100" w:type="dxa"/>
              <w:right w:w="100" w:type="dxa"/>
            </w:tcMar>
          </w:tcPr>
          <w:p w14:paraId="4DFA6B70"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1AF8802C"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E61AD0" w:rsidRPr="002F53BC" w14:paraId="0106BE7A" w14:textId="77777777" w:rsidTr="00EF0CD2">
        <w:tc>
          <w:tcPr>
            <w:tcW w:w="2340" w:type="dxa"/>
            <w:tcMar>
              <w:top w:w="100" w:type="dxa"/>
              <w:left w:w="100" w:type="dxa"/>
              <w:bottom w:w="100" w:type="dxa"/>
              <w:right w:w="100" w:type="dxa"/>
            </w:tcMar>
          </w:tcPr>
          <w:p w14:paraId="728E97A6"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CHRT: NASDAQ</w:t>
            </w:r>
          </w:p>
        </w:tc>
        <w:tc>
          <w:tcPr>
            <w:tcW w:w="2340" w:type="dxa"/>
            <w:tcMar>
              <w:top w:w="100" w:type="dxa"/>
              <w:left w:w="100" w:type="dxa"/>
              <w:bottom w:w="100" w:type="dxa"/>
              <w:right w:w="100" w:type="dxa"/>
            </w:tcMar>
          </w:tcPr>
          <w:p w14:paraId="635CA5DA"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Charter Communications, Inc.</w:t>
            </w:r>
          </w:p>
        </w:tc>
        <w:tc>
          <w:tcPr>
            <w:tcW w:w="2340" w:type="dxa"/>
            <w:tcMar>
              <w:top w:w="100" w:type="dxa"/>
              <w:left w:w="100" w:type="dxa"/>
              <w:bottom w:w="100" w:type="dxa"/>
              <w:right w:w="100" w:type="dxa"/>
            </w:tcMar>
          </w:tcPr>
          <w:p w14:paraId="7453816C"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298F549"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Communication Services</w:t>
            </w:r>
          </w:p>
        </w:tc>
      </w:tr>
      <w:tr w:rsidR="00E61AD0" w:rsidRPr="002F53BC" w14:paraId="0272F253" w14:textId="77777777" w:rsidTr="00EF0CD2">
        <w:tc>
          <w:tcPr>
            <w:tcW w:w="2340" w:type="dxa"/>
            <w:tcMar>
              <w:top w:w="100" w:type="dxa"/>
              <w:left w:w="100" w:type="dxa"/>
              <w:bottom w:w="100" w:type="dxa"/>
              <w:right w:w="100" w:type="dxa"/>
            </w:tcMar>
          </w:tcPr>
          <w:p w14:paraId="7AC5F056"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CL: NYSE</w:t>
            </w:r>
          </w:p>
        </w:tc>
        <w:tc>
          <w:tcPr>
            <w:tcW w:w="2340" w:type="dxa"/>
            <w:tcMar>
              <w:top w:w="100" w:type="dxa"/>
              <w:left w:w="100" w:type="dxa"/>
              <w:bottom w:w="100" w:type="dxa"/>
              <w:right w:w="100" w:type="dxa"/>
            </w:tcMar>
          </w:tcPr>
          <w:p w14:paraId="16A1FEEB"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Colgate-Palmolive Company</w:t>
            </w:r>
          </w:p>
        </w:tc>
        <w:tc>
          <w:tcPr>
            <w:tcW w:w="2340" w:type="dxa"/>
            <w:tcMar>
              <w:top w:w="100" w:type="dxa"/>
              <w:left w:w="100" w:type="dxa"/>
              <w:bottom w:w="100" w:type="dxa"/>
              <w:right w:w="100" w:type="dxa"/>
            </w:tcMar>
          </w:tcPr>
          <w:p w14:paraId="5FBD3D22"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79DF314B"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Staples</w:t>
            </w:r>
          </w:p>
        </w:tc>
      </w:tr>
      <w:tr w:rsidR="00E61AD0" w:rsidRPr="002F53BC" w14:paraId="1F24C167" w14:textId="77777777" w:rsidTr="00EF0CD2">
        <w:tc>
          <w:tcPr>
            <w:tcW w:w="2340" w:type="dxa"/>
            <w:tcMar>
              <w:top w:w="100" w:type="dxa"/>
              <w:left w:w="100" w:type="dxa"/>
              <w:bottom w:w="100" w:type="dxa"/>
              <w:right w:w="100" w:type="dxa"/>
            </w:tcMar>
          </w:tcPr>
          <w:p w14:paraId="0EC7192C"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DRI: NYSE</w:t>
            </w:r>
          </w:p>
        </w:tc>
        <w:tc>
          <w:tcPr>
            <w:tcW w:w="2340" w:type="dxa"/>
            <w:tcMar>
              <w:top w:w="100" w:type="dxa"/>
              <w:left w:w="100" w:type="dxa"/>
              <w:bottom w:w="100" w:type="dxa"/>
              <w:right w:w="100" w:type="dxa"/>
            </w:tcMar>
          </w:tcPr>
          <w:p w14:paraId="071D5740"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Darden Restaurants, Inc.</w:t>
            </w:r>
          </w:p>
        </w:tc>
        <w:tc>
          <w:tcPr>
            <w:tcW w:w="2340" w:type="dxa"/>
            <w:tcMar>
              <w:top w:w="100" w:type="dxa"/>
              <w:left w:w="100" w:type="dxa"/>
              <w:bottom w:w="100" w:type="dxa"/>
              <w:right w:w="100" w:type="dxa"/>
            </w:tcMar>
          </w:tcPr>
          <w:p w14:paraId="0BA8E774"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9C3FF44"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E61AD0" w:rsidRPr="002F53BC" w14:paraId="5317F4E5" w14:textId="77777777" w:rsidTr="00EF0CD2">
        <w:tc>
          <w:tcPr>
            <w:tcW w:w="2340" w:type="dxa"/>
            <w:tcMar>
              <w:top w:w="100" w:type="dxa"/>
              <w:left w:w="100" w:type="dxa"/>
              <w:bottom w:w="100" w:type="dxa"/>
              <w:right w:w="100" w:type="dxa"/>
            </w:tcMar>
          </w:tcPr>
          <w:p w14:paraId="601C3CE5"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FNLC: NASDAQ</w:t>
            </w:r>
          </w:p>
        </w:tc>
        <w:tc>
          <w:tcPr>
            <w:tcW w:w="2340" w:type="dxa"/>
            <w:tcMar>
              <w:top w:w="100" w:type="dxa"/>
              <w:left w:w="100" w:type="dxa"/>
              <w:bottom w:w="100" w:type="dxa"/>
              <w:right w:w="100" w:type="dxa"/>
            </w:tcMar>
          </w:tcPr>
          <w:p w14:paraId="36590B0A"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First Bancorp, Inc.</w:t>
            </w:r>
          </w:p>
        </w:tc>
        <w:tc>
          <w:tcPr>
            <w:tcW w:w="2340" w:type="dxa"/>
            <w:tcMar>
              <w:top w:w="100" w:type="dxa"/>
              <w:left w:w="100" w:type="dxa"/>
              <w:bottom w:w="100" w:type="dxa"/>
              <w:right w:w="100" w:type="dxa"/>
            </w:tcMar>
          </w:tcPr>
          <w:p w14:paraId="11093D0D"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2A77DAF7"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E61AD0" w:rsidRPr="002F53BC" w14:paraId="6F188C79" w14:textId="77777777" w:rsidTr="00EF0CD2">
        <w:tc>
          <w:tcPr>
            <w:tcW w:w="2340" w:type="dxa"/>
            <w:tcMar>
              <w:top w:w="100" w:type="dxa"/>
              <w:left w:w="100" w:type="dxa"/>
              <w:bottom w:w="100" w:type="dxa"/>
              <w:right w:w="100" w:type="dxa"/>
            </w:tcMar>
          </w:tcPr>
          <w:p w14:paraId="591AD3C0"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GD: NYSE</w:t>
            </w:r>
          </w:p>
        </w:tc>
        <w:tc>
          <w:tcPr>
            <w:tcW w:w="2340" w:type="dxa"/>
            <w:tcMar>
              <w:top w:w="100" w:type="dxa"/>
              <w:left w:w="100" w:type="dxa"/>
              <w:bottom w:w="100" w:type="dxa"/>
              <w:right w:w="100" w:type="dxa"/>
            </w:tcMar>
          </w:tcPr>
          <w:p w14:paraId="753A4F6D"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General Dynamics Corporation</w:t>
            </w:r>
          </w:p>
        </w:tc>
        <w:tc>
          <w:tcPr>
            <w:tcW w:w="2340" w:type="dxa"/>
            <w:tcMar>
              <w:top w:w="100" w:type="dxa"/>
              <w:left w:w="100" w:type="dxa"/>
              <w:bottom w:w="100" w:type="dxa"/>
              <w:right w:w="100" w:type="dxa"/>
            </w:tcMar>
          </w:tcPr>
          <w:p w14:paraId="59061144"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58D14388"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E61AD0" w:rsidRPr="002F53BC" w14:paraId="64DDCDBC" w14:textId="77777777" w:rsidTr="00EF0CD2">
        <w:tc>
          <w:tcPr>
            <w:tcW w:w="2340" w:type="dxa"/>
            <w:tcMar>
              <w:top w:w="100" w:type="dxa"/>
              <w:left w:w="100" w:type="dxa"/>
              <w:bottom w:w="100" w:type="dxa"/>
              <w:right w:w="100" w:type="dxa"/>
            </w:tcMar>
          </w:tcPr>
          <w:p w14:paraId="1BD1F685"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HLT: NYSE</w:t>
            </w:r>
          </w:p>
        </w:tc>
        <w:tc>
          <w:tcPr>
            <w:tcW w:w="2340" w:type="dxa"/>
            <w:tcMar>
              <w:top w:w="100" w:type="dxa"/>
              <w:left w:w="100" w:type="dxa"/>
              <w:bottom w:w="100" w:type="dxa"/>
              <w:right w:w="100" w:type="dxa"/>
            </w:tcMar>
          </w:tcPr>
          <w:p w14:paraId="60EB09D5"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Hilton Worldwide Holding, Inc.</w:t>
            </w:r>
          </w:p>
        </w:tc>
        <w:tc>
          <w:tcPr>
            <w:tcW w:w="2340" w:type="dxa"/>
            <w:tcMar>
              <w:top w:w="100" w:type="dxa"/>
              <w:left w:w="100" w:type="dxa"/>
              <w:bottom w:w="100" w:type="dxa"/>
              <w:right w:w="100" w:type="dxa"/>
            </w:tcMar>
          </w:tcPr>
          <w:p w14:paraId="33E50F17"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7580AF9B"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E61AD0" w:rsidRPr="002F53BC" w14:paraId="7A20C29B" w14:textId="77777777" w:rsidTr="00EF0CD2">
        <w:tc>
          <w:tcPr>
            <w:tcW w:w="2340" w:type="dxa"/>
            <w:tcMar>
              <w:top w:w="100" w:type="dxa"/>
              <w:left w:w="100" w:type="dxa"/>
              <w:bottom w:w="100" w:type="dxa"/>
              <w:right w:w="100" w:type="dxa"/>
            </w:tcMar>
          </w:tcPr>
          <w:p w14:paraId="2C2A8C06"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HD: NYSE</w:t>
            </w:r>
          </w:p>
        </w:tc>
        <w:tc>
          <w:tcPr>
            <w:tcW w:w="2340" w:type="dxa"/>
            <w:tcMar>
              <w:top w:w="100" w:type="dxa"/>
              <w:left w:w="100" w:type="dxa"/>
              <w:bottom w:w="100" w:type="dxa"/>
              <w:right w:w="100" w:type="dxa"/>
            </w:tcMar>
          </w:tcPr>
          <w:p w14:paraId="774A9D24"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Home Depot, Inc.</w:t>
            </w:r>
          </w:p>
        </w:tc>
        <w:tc>
          <w:tcPr>
            <w:tcW w:w="2340" w:type="dxa"/>
            <w:tcMar>
              <w:top w:w="100" w:type="dxa"/>
              <w:left w:w="100" w:type="dxa"/>
              <w:bottom w:w="100" w:type="dxa"/>
              <w:right w:w="100" w:type="dxa"/>
            </w:tcMar>
          </w:tcPr>
          <w:p w14:paraId="047B5B8D"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0B73F23D"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E61AD0" w:rsidRPr="002F53BC" w14:paraId="2C2AA2E5" w14:textId="77777777" w:rsidTr="00EF0CD2">
        <w:tc>
          <w:tcPr>
            <w:tcW w:w="2340" w:type="dxa"/>
            <w:tcMar>
              <w:top w:w="100" w:type="dxa"/>
              <w:left w:w="100" w:type="dxa"/>
              <w:bottom w:w="100" w:type="dxa"/>
              <w:right w:w="100" w:type="dxa"/>
            </w:tcMar>
          </w:tcPr>
          <w:p w14:paraId="55D6BA34"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ICC: NASDAQ</w:t>
            </w:r>
          </w:p>
        </w:tc>
        <w:tc>
          <w:tcPr>
            <w:tcW w:w="2340" w:type="dxa"/>
            <w:tcMar>
              <w:top w:w="100" w:type="dxa"/>
              <w:left w:w="100" w:type="dxa"/>
              <w:bottom w:w="100" w:type="dxa"/>
              <w:right w:w="100" w:type="dxa"/>
            </w:tcMar>
          </w:tcPr>
          <w:p w14:paraId="29B24D82" w14:textId="77777777" w:rsidR="00E61AD0" w:rsidRPr="002F53BC" w:rsidRDefault="00E61AD0" w:rsidP="00EF0CD2">
            <w:pPr>
              <w:widowControl w:val="0"/>
              <w:spacing w:line="240" w:lineRule="auto"/>
              <w:rPr>
                <w:rFonts w:ascii="Times New Roman" w:eastAsia="Times New Roman" w:hAnsi="Times New Roman" w:cs="Times New Roman"/>
              </w:rPr>
            </w:pPr>
            <w:proofErr w:type="spellStart"/>
            <w:r w:rsidRPr="002F53BC">
              <w:rPr>
                <w:rFonts w:ascii="Times New Roman" w:eastAsia="Times New Roman" w:hAnsi="Times New Roman" w:cs="Times New Roman"/>
              </w:rPr>
              <w:t>ImmuCell</w:t>
            </w:r>
            <w:proofErr w:type="spellEnd"/>
            <w:r w:rsidRPr="002F53BC">
              <w:rPr>
                <w:rFonts w:ascii="Times New Roman" w:eastAsia="Times New Roman" w:hAnsi="Times New Roman" w:cs="Times New Roman"/>
              </w:rPr>
              <w:t xml:space="preserve"> Corporation</w:t>
            </w:r>
          </w:p>
        </w:tc>
        <w:tc>
          <w:tcPr>
            <w:tcW w:w="2340" w:type="dxa"/>
            <w:tcMar>
              <w:top w:w="100" w:type="dxa"/>
              <w:left w:w="100" w:type="dxa"/>
              <w:bottom w:w="100" w:type="dxa"/>
              <w:right w:w="100" w:type="dxa"/>
            </w:tcMar>
          </w:tcPr>
          <w:p w14:paraId="38544E4B"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154C5376"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Health Care</w:t>
            </w:r>
          </w:p>
        </w:tc>
      </w:tr>
      <w:tr w:rsidR="00E61AD0" w:rsidRPr="002F53BC" w14:paraId="7C308E38" w14:textId="77777777" w:rsidTr="00EF0CD2">
        <w:tc>
          <w:tcPr>
            <w:tcW w:w="2340" w:type="dxa"/>
            <w:tcMar>
              <w:top w:w="100" w:type="dxa"/>
              <w:left w:w="100" w:type="dxa"/>
              <w:bottom w:w="100" w:type="dxa"/>
              <w:right w:w="100" w:type="dxa"/>
            </w:tcMar>
          </w:tcPr>
          <w:p w14:paraId="7AB7FA8A"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IDXX: NASDAQ</w:t>
            </w:r>
          </w:p>
        </w:tc>
        <w:tc>
          <w:tcPr>
            <w:tcW w:w="2340" w:type="dxa"/>
            <w:tcMar>
              <w:top w:w="100" w:type="dxa"/>
              <w:left w:w="100" w:type="dxa"/>
              <w:bottom w:w="100" w:type="dxa"/>
              <w:right w:w="100" w:type="dxa"/>
            </w:tcMar>
          </w:tcPr>
          <w:p w14:paraId="7F1367AE"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IDEXX Laboratories, Inc.</w:t>
            </w:r>
          </w:p>
        </w:tc>
        <w:tc>
          <w:tcPr>
            <w:tcW w:w="2340" w:type="dxa"/>
            <w:tcMar>
              <w:top w:w="100" w:type="dxa"/>
              <w:left w:w="100" w:type="dxa"/>
              <w:bottom w:w="100" w:type="dxa"/>
              <w:right w:w="100" w:type="dxa"/>
            </w:tcMar>
          </w:tcPr>
          <w:p w14:paraId="267D7F9D"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37957830"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Health Care</w:t>
            </w:r>
          </w:p>
        </w:tc>
      </w:tr>
      <w:tr w:rsidR="00E61AD0" w:rsidRPr="002F53BC" w14:paraId="08E08B1F" w14:textId="77777777" w:rsidTr="00EF0CD2">
        <w:tc>
          <w:tcPr>
            <w:tcW w:w="2340" w:type="dxa"/>
            <w:tcMar>
              <w:top w:w="100" w:type="dxa"/>
              <w:left w:w="100" w:type="dxa"/>
              <w:bottom w:w="100" w:type="dxa"/>
              <w:right w:w="100" w:type="dxa"/>
            </w:tcMar>
          </w:tcPr>
          <w:p w14:paraId="6DCCF0CE"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LOW: NYSE</w:t>
            </w:r>
          </w:p>
        </w:tc>
        <w:tc>
          <w:tcPr>
            <w:tcW w:w="2340" w:type="dxa"/>
            <w:tcMar>
              <w:top w:w="100" w:type="dxa"/>
              <w:left w:w="100" w:type="dxa"/>
              <w:bottom w:w="100" w:type="dxa"/>
              <w:right w:w="100" w:type="dxa"/>
            </w:tcMar>
          </w:tcPr>
          <w:p w14:paraId="6A3EEF6B"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Lowe’s Companies, Inc.</w:t>
            </w:r>
          </w:p>
        </w:tc>
        <w:tc>
          <w:tcPr>
            <w:tcW w:w="2340" w:type="dxa"/>
            <w:tcMar>
              <w:top w:w="100" w:type="dxa"/>
              <w:left w:w="100" w:type="dxa"/>
              <w:bottom w:w="100" w:type="dxa"/>
              <w:right w:w="100" w:type="dxa"/>
            </w:tcMar>
          </w:tcPr>
          <w:p w14:paraId="0B73BAF5"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71D80FBC"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E61AD0" w:rsidRPr="002F53BC" w14:paraId="0D6E3F32" w14:textId="77777777" w:rsidTr="00EF0CD2">
        <w:tc>
          <w:tcPr>
            <w:tcW w:w="2340" w:type="dxa"/>
            <w:tcMar>
              <w:top w:w="100" w:type="dxa"/>
              <w:left w:w="100" w:type="dxa"/>
              <w:bottom w:w="100" w:type="dxa"/>
              <w:right w:w="100" w:type="dxa"/>
            </w:tcMar>
          </w:tcPr>
          <w:p w14:paraId="2945E66D"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MCD: NYSE</w:t>
            </w:r>
          </w:p>
        </w:tc>
        <w:tc>
          <w:tcPr>
            <w:tcW w:w="2340" w:type="dxa"/>
            <w:tcMar>
              <w:top w:w="100" w:type="dxa"/>
              <w:left w:w="100" w:type="dxa"/>
              <w:bottom w:w="100" w:type="dxa"/>
              <w:right w:w="100" w:type="dxa"/>
            </w:tcMar>
          </w:tcPr>
          <w:p w14:paraId="79A5A5FB"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McDonalds Corporation</w:t>
            </w:r>
          </w:p>
        </w:tc>
        <w:tc>
          <w:tcPr>
            <w:tcW w:w="2340" w:type="dxa"/>
            <w:tcMar>
              <w:top w:w="100" w:type="dxa"/>
              <w:left w:w="100" w:type="dxa"/>
              <w:bottom w:w="100" w:type="dxa"/>
              <w:right w:w="100" w:type="dxa"/>
            </w:tcMar>
          </w:tcPr>
          <w:p w14:paraId="62DD8BD6"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84A821B"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E61AD0" w:rsidRPr="002F53BC" w14:paraId="648D314B" w14:textId="77777777" w:rsidTr="00EF0CD2">
        <w:tc>
          <w:tcPr>
            <w:tcW w:w="2340" w:type="dxa"/>
            <w:tcMar>
              <w:top w:w="100" w:type="dxa"/>
              <w:left w:w="100" w:type="dxa"/>
              <w:bottom w:w="100" w:type="dxa"/>
              <w:right w:w="100" w:type="dxa"/>
            </w:tcMar>
          </w:tcPr>
          <w:p w14:paraId="597B1E87"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NBN: NASDAQ</w:t>
            </w:r>
          </w:p>
        </w:tc>
        <w:tc>
          <w:tcPr>
            <w:tcW w:w="2340" w:type="dxa"/>
            <w:tcMar>
              <w:top w:w="100" w:type="dxa"/>
              <w:left w:w="100" w:type="dxa"/>
              <w:bottom w:w="100" w:type="dxa"/>
              <w:right w:w="100" w:type="dxa"/>
            </w:tcMar>
          </w:tcPr>
          <w:p w14:paraId="634F182D"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Northeast Bank</w:t>
            </w:r>
          </w:p>
        </w:tc>
        <w:tc>
          <w:tcPr>
            <w:tcW w:w="2340" w:type="dxa"/>
            <w:tcMar>
              <w:top w:w="100" w:type="dxa"/>
              <w:left w:w="100" w:type="dxa"/>
              <w:bottom w:w="100" w:type="dxa"/>
              <w:right w:w="100" w:type="dxa"/>
            </w:tcMar>
          </w:tcPr>
          <w:p w14:paraId="6C5F6F34"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243A1D92"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E61AD0" w:rsidRPr="002F53BC" w14:paraId="52DA3795" w14:textId="77777777" w:rsidTr="00EF0CD2">
        <w:tc>
          <w:tcPr>
            <w:tcW w:w="2340" w:type="dxa"/>
            <w:tcMar>
              <w:top w:w="100" w:type="dxa"/>
              <w:left w:w="100" w:type="dxa"/>
              <w:bottom w:w="100" w:type="dxa"/>
              <w:right w:w="100" w:type="dxa"/>
            </w:tcMar>
          </w:tcPr>
          <w:p w14:paraId="17A9007C"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PENN: NASDAQ</w:t>
            </w:r>
          </w:p>
        </w:tc>
        <w:tc>
          <w:tcPr>
            <w:tcW w:w="2340" w:type="dxa"/>
            <w:tcMar>
              <w:top w:w="100" w:type="dxa"/>
              <w:left w:w="100" w:type="dxa"/>
              <w:bottom w:w="100" w:type="dxa"/>
              <w:right w:w="100" w:type="dxa"/>
            </w:tcMar>
          </w:tcPr>
          <w:p w14:paraId="498460A6"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Penn National Gaming, Inc.</w:t>
            </w:r>
          </w:p>
        </w:tc>
        <w:tc>
          <w:tcPr>
            <w:tcW w:w="2340" w:type="dxa"/>
            <w:tcMar>
              <w:top w:w="100" w:type="dxa"/>
              <w:left w:w="100" w:type="dxa"/>
              <w:bottom w:w="100" w:type="dxa"/>
              <w:right w:w="100" w:type="dxa"/>
            </w:tcMar>
          </w:tcPr>
          <w:p w14:paraId="767CA4B5"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26C79CE1"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E61AD0" w:rsidRPr="002F53BC" w14:paraId="2542BE82" w14:textId="77777777" w:rsidTr="00EF0CD2">
        <w:tc>
          <w:tcPr>
            <w:tcW w:w="2340" w:type="dxa"/>
            <w:tcMar>
              <w:top w:w="100" w:type="dxa"/>
              <w:left w:w="100" w:type="dxa"/>
              <w:bottom w:w="100" w:type="dxa"/>
              <w:right w:w="100" w:type="dxa"/>
            </w:tcMar>
          </w:tcPr>
          <w:p w14:paraId="189332C9"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RTX: NYSE</w:t>
            </w:r>
          </w:p>
        </w:tc>
        <w:tc>
          <w:tcPr>
            <w:tcW w:w="2340" w:type="dxa"/>
            <w:tcMar>
              <w:top w:w="100" w:type="dxa"/>
              <w:left w:w="100" w:type="dxa"/>
              <w:bottom w:w="100" w:type="dxa"/>
              <w:right w:w="100" w:type="dxa"/>
            </w:tcMar>
          </w:tcPr>
          <w:p w14:paraId="621012D2"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Raytheon Technologies Corporation</w:t>
            </w:r>
          </w:p>
        </w:tc>
        <w:tc>
          <w:tcPr>
            <w:tcW w:w="2340" w:type="dxa"/>
            <w:tcMar>
              <w:top w:w="100" w:type="dxa"/>
              <w:left w:w="100" w:type="dxa"/>
              <w:bottom w:w="100" w:type="dxa"/>
              <w:right w:w="100" w:type="dxa"/>
            </w:tcMar>
          </w:tcPr>
          <w:p w14:paraId="1DAEFF46"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5D83D301"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Industrials</w:t>
            </w:r>
          </w:p>
        </w:tc>
      </w:tr>
      <w:tr w:rsidR="00E61AD0" w:rsidRPr="002F53BC" w14:paraId="1C6E380D" w14:textId="77777777" w:rsidTr="00EF0CD2">
        <w:tc>
          <w:tcPr>
            <w:tcW w:w="2340" w:type="dxa"/>
            <w:tcMar>
              <w:top w:w="100" w:type="dxa"/>
              <w:left w:w="100" w:type="dxa"/>
              <w:bottom w:w="100" w:type="dxa"/>
              <w:right w:w="100" w:type="dxa"/>
            </w:tcMar>
          </w:tcPr>
          <w:p w14:paraId="0C933F58"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TD: NYSE</w:t>
            </w:r>
          </w:p>
        </w:tc>
        <w:tc>
          <w:tcPr>
            <w:tcW w:w="2340" w:type="dxa"/>
            <w:tcMar>
              <w:top w:w="100" w:type="dxa"/>
              <w:left w:w="100" w:type="dxa"/>
              <w:bottom w:w="100" w:type="dxa"/>
              <w:right w:w="100" w:type="dxa"/>
            </w:tcMar>
          </w:tcPr>
          <w:p w14:paraId="07F1DCB4"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Toronto-Dominion Bank</w:t>
            </w:r>
          </w:p>
        </w:tc>
        <w:tc>
          <w:tcPr>
            <w:tcW w:w="2340" w:type="dxa"/>
            <w:tcMar>
              <w:top w:w="100" w:type="dxa"/>
              <w:left w:w="100" w:type="dxa"/>
              <w:bottom w:w="100" w:type="dxa"/>
              <w:right w:w="100" w:type="dxa"/>
            </w:tcMar>
          </w:tcPr>
          <w:p w14:paraId="64AC8EAD"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AEA5FE9"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E61AD0" w:rsidRPr="002F53BC" w14:paraId="7BF15C12" w14:textId="77777777" w:rsidTr="00EF0CD2">
        <w:tc>
          <w:tcPr>
            <w:tcW w:w="2340" w:type="dxa"/>
            <w:tcMar>
              <w:top w:w="100" w:type="dxa"/>
              <w:left w:w="100" w:type="dxa"/>
              <w:bottom w:w="100" w:type="dxa"/>
              <w:right w:w="100" w:type="dxa"/>
            </w:tcMar>
          </w:tcPr>
          <w:p w14:paraId="4B690C5C"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lastRenderedPageBreak/>
              <w:t>TMUS: NASDAQ</w:t>
            </w:r>
          </w:p>
        </w:tc>
        <w:tc>
          <w:tcPr>
            <w:tcW w:w="2340" w:type="dxa"/>
            <w:tcMar>
              <w:top w:w="100" w:type="dxa"/>
              <w:left w:w="100" w:type="dxa"/>
              <w:bottom w:w="100" w:type="dxa"/>
              <w:right w:w="100" w:type="dxa"/>
            </w:tcMar>
          </w:tcPr>
          <w:p w14:paraId="180C03C2"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T-Mobile US, Inc.</w:t>
            </w:r>
          </w:p>
        </w:tc>
        <w:tc>
          <w:tcPr>
            <w:tcW w:w="2340" w:type="dxa"/>
            <w:tcMar>
              <w:top w:w="100" w:type="dxa"/>
              <w:left w:w="100" w:type="dxa"/>
              <w:bottom w:w="100" w:type="dxa"/>
              <w:right w:w="100" w:type="dxa"/>
            </w:tcMar>
          </w:tcPr>
          <w:p w14:paraId="1FF8F741"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2D3240EC"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Services</w:t>
            </w:r>
          </w:p>
        </w:tc>
      </w:tr>
      <w:tr w:rsidR="00E61AD0" w:rsidRPr="002F53BC" w14:paraId="2F9A6B87" w14:textId="77777777" w:rsidTr="00EF0CD2">
        <w:tc>
          <w:tcPr>
            <w:tcW w:w="2340" w:type="dxa"/>
            <w:tcMar>
              <w:top w:w="100" w:type="dxa"/>
              <w:left w:w="100" w:type="dxa"/>
              <w:bottom w:w="100" w:type="dxa"/>
              <w:right w:w="100" w:type="dxa"/>
            </w:tcMar>
          </w:tcPr>
          <w:p w14:paraId="75662389"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UPS: NYSE</w:t>
            </w:r>
          </w:p>
        </w:tc>
        <w:tc>
          <w:tcPr>
            <w:tcW w:w="2340" w:type="dxa"/>
            <w:tcMar>
              <w:top w:w="100" w:type="dxa"/>
              <w:left w:w="100" w:type="dxa"/>
              <w:bottom w:w="100" w:type="dxa"/>
              <w:right w:w="100" w:type="dxa"/>
            </w:tcMar>
          </w:tcPr>
          <w:p w14:paraId="6A6E287E"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United Parcel Service, Inc.</w:t>
            </w:r>
          </w:p>
        </w:tc>
        <w:tc>
          <w:tcPr>
            <w:tcW w:w="2340" w:type="dxa"/>
            <w:tcMar>
              <w:top w:w="100" w:type="dxa"/>
              <w:left w:w="100" w:type="dxa"/>
              <w:bottom w:w="100" w:type="dxa"/>
              <w:right w:w="100" w:type="dxa"/>
            </w:tcMar>
          </w:tcPr>
          <w:p w14:paraId="1F144F01"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9279C0C"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Industrials</w:t>
            </w:r>
          </w:p>
        </w:tc>
      </w:tr>
      <w:tr w:rsidR="00E61AD0" w:rsidRPr="002F53BC" w14:paraId="2C45D899" w14:textId="77777777" w:rsidTr="00EF0CD2">
        <w:tc>
          <w:tcPr>
            <w:tcW w:w="2340" w:type="dxa"/>
            <w:tcMar>
              <w:top w:w="100" w:type="dxa"/>
              <w:left w:w="100" w:type="dxa"/>
              <w:bottom w:w="100" w:type="dxa"/>
              <w:right w:w="100" w:type="dxa"/>
            </w:tcMar>
          </w:tcPr>
          <w:p w14:paraId="521BD47C"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UNM: NYSE</w:t>
            </w:r>
          </w:p>
        </w:tc>
        <w:tc>
          <w:tcPr>
            <w:tcW w:w="2340" w:type="dxa"/>
            <w:tcMar>
              <w:top w:w="100" w:type="dxa"/>
              <w:left w:w="100" w:type="dxa"/>
              <w:bottom w:w="100" w:type="dxa"/>
              <w:right w:w="100" w:type="dxa"/>
            </w:tcMar>
          </w:tcPr>
          <w:p w14:paraId="10B38CF7"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UNUM Group</w:t>
            </w:r>
          </w:p>
        </w:tc>
        <w:tc>
          <w:tcPr>
            <w:tcW w:w="2340" w:type="dxa"/>
            <w:tcMar>
              <w:top w:w="100" w:type="dxa"/>
              <w:left w:w="100" w:type="dxa"/>
              <w:bottom w:w="100" w:type="dxa"/>
              <w:right w:w="100" w:type="dxa"/>
            </w:tcMar>
          </w:tcPr>
          <w:p w14:paraId="53339321"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7CA04A0D"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E61AD0" w:rsidRPr="002F53BC" w14:paraId="6408EED4" w14:textId="77777777" w:rsidTr="00EF0CD2">
        <w:tc>
          <w:tcPr>
            <w:tcW w:w="2340" w:type="dxa"/>
            <w:tcMar>
              <w:top w:w="100" w:type="dxa"/>
              <w:left w:w="100" w:type="dxa"/>
              <w:bottom w:w="100" w:type="dxa"/>
              <w:right w:w="100" w:type="dxa"/>
            </w:tcMar>
          </w:tcPr>
          <w:p w14:paraId="0E933370"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VLO: NYSE</w:t>
            </w:r>
          </w:p>
        </w:tc>
        <w:tc>
          <w:tcPr>
            <w:tcW w:w="2340" w:type="dxa"/>
            <w:tcMar>
              <w:top w:w="100" w:type="dxa"/>
              <w:left w:w="100" w:type="dxa"/>
              <w:bottom w:w="100" w:type="dxa"/>
              <w:right w:w="100" w:type="dxa"/>
            </w:tcMar>
          </w:tcPr>
          <w:p w14:paraId="4028F899"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Valero Energy Corporation</w:t>
            </w:r>
          </w:p>
        </w:tc>
        <w:tc>
          <w:tcPr>
            <w:tcW w:w="2340" w:type="dxa"/>
            <w:tcMar>
              <w:top w:w="100" w:type="dxa"/>
              <w:left w:w="100" w:type="dxa"/>
              <w:bottom w:w="100" w:type="dxa"/>
              <w:right w:w="100" w:type="dxa"/>
            </w:tcMar>
          </w:tcPr>
          <w:p w14:paraId="7ED5E629"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EEBB844"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Energy</w:t>
            </w:r>
          </w:p>
        </w:tc>
      </w:tr>
      <w:tr w:rsidR="00E61AD0" w:rsidRPr="002F53BC" w14:paraId="2D9177B8" w14:textId="77777777" w:rsidTr="00EF0CD2">
        <w:tc>
          <w:tcPr>
            <w:tcW w:w="2340" w:type="dxa"/>
            <w:tcMar>
              <w:top w:w="100" w:type="dxa"/>
              <w:left w:w="100" w:type="dxa"/>
              <w:bottom w:w="100" w:type="dxa"/>
              <w:right w:w="100" w:type="dxa"/>
            </w:tcMar>
          </w:tcPr>
          <w:p w14:paraId="45BF2B09"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WMT: NYSE</w:t>
            </w:r>
          </w:p>
        </w:tc>
        <w:tc>
          <w:tcPr>
            <w:tcW w:w="2340" w:type="dxa"/>
            <w:tcMar>
              <w:top w:w="100" w:type="dxa"/>
              <w:left w:w="100" w:type="dxa"/>
              <w:bottom w:w="100" w:type="dxa"/>
              <w:right w:w="100" w:type="dxa"/>
            </w:tcMar>
          </w:tcPr>
          <w:p w14:paraId="51E2C0F3"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Walmart, Inc.</w:t>
            </w:r>
          </w:p>
        </w:tc>
        <w:tc>
          <w:tcPr>
            <w:tcW w:w="2340" w:type="dxa"/>
            <w:tcMar>
              <w:top w:w="100" w:type="dxa"/>
              <w:left w:w="100" w:type="dxa"/>
              <w:bottom w:w="100" w:type="dxa"/>
              <w:right w:w="100" w:type="dxa"/>
            </w:tcMar>
          </w:tcPr>
          <w:p w14:paraId="03110B77"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3FF177E6"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Services</w:t>
            </w:r>
          </w:p>
        </w:tc>
      </w:tr>
      <w:tr w:rsidR="00E61AD0" w:rsidRPr="002F53BC" w14:paraId="667D3E9C" w14:textId="77777777" w:rsidTr="00EF0CD2">
        <w:tc>
          <w:tcPr>
            <w:tcW w:w="2340" w:type="dxa"/>
            <w:tcMar>
              <w:top w:w="100" w:type="dxa"/>
              <w:left w:w="100" w:type="dxa"/>
              <w:bottom w:w="100" w:type="dxa"/>
              <w:right w:w="100" w:type="dxa"/>
            </w:tcMar>
          </w:tcPr>
          <w:p w14:paraId="40AA8B0F"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WEX: NYSE</w:t>
            </w:r>
          </w:p>
        </w:tc>
        <w:tc>
          <w:tcPr>
            <w:tcW w:w="2340" w:type="dxa"/>
            <w:tcMar>
              <w:top w:w="100" w:type="dxa"/>
              <w:left w:w="100" w:type="dxa"/>
              <w:bottom w:w="100" w:type="dxa"/>
              <w:right w:w="100" w:type="dxa"/>
            </w:tcMar>
          </w:tcPr>
          <w:p w14:paraId="69A5A7A5"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WEX, Inc.</w:t>
            </w:r>
          </w:p>
        </w:tc>
        <w:tc>
          <w:tcPr>
            <w:tcW w:w="2340" w:type="dxa"/>
            <w:tcMar>
              <w:top w:w="100" w:type="dxa"/>
              <w:left w:w="100" w:type="dxa"/>
              <w:bottom w:w="100" w:type="dxa"/>
              <w:right w:w="100" w:type="dxa"/>
            </w:tcMar>
          </w:tcPr>
          <w:p w14:paraId="131D660C"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9E08C8F" w14:textId="77777777" w:rsidR="00E61AD0" w:rsidRPr="002F53BC" w:rsidRDefault="00E61AD0" w:rsidP="00EF0CD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Information Technologies</w:t>
            </w:r>
          </w:p>
        </w:tc>
      </w:tr>
    </w:tbl>
    <w:p w14:paraId="6DD7DFC1" w14:textId="77777777" w:rsidR="00E61AD0" w:rsidRPr="002F53BC" w:rsidRDefault="00E61AD0" w:rsidP="00E61AD0">
      <w:pPr>
        <w:rPr>
          <w:rFonts w:ascii="Times New Roman" w:eastAsia="Times New Roman" w:hAnsi="Times New Roman" w:cs="Times New Roman"/>
        </w:rPr>
      </w:pPr>
    </w:p>
    <w:p w14:paraId="0DAFDD56" w14:textId="77777777" w:rsidR="00E61AD0" w:rsidRPr="002F53BC" w:rsidRDefault="00E61AD0" w:rsidP="00E61AD0">
      <w:pPr>
        <w:rPr>
          <w:rFonts w:ascii="Times New Roman" w:eastAsia="Times New Roman" w:hAnsi="Times New Roman" w:cs="Times New Roman"/>
        </w:rPr>
      </w:pPr>
    </w:p>
    <w:p w14:paraId="2ECAE736" w14:textId="77777777" w:rsidR="00E61AD0" w:rsidRPr="002F53BC" w:rsidRDefault="00E61AD0" w:rsidP="00E61AD0">
      <w:pPr>
        <w:rPr>
          <w:rFonts w:ascii="Times New Roman" w:hAnsi="Times New Roman" w:cs="Times New Roman"/>
        </w:rPr>
      </w:pPr>
    </w:p>
    <w:p w14:paraId="3914DA95" w14:textId="77777777" w:rsidR="00E61AD0" w:rsidRPr="002F53BC" w:rsidRDefault="00E61AD0" w:rsidP="00E61AD0">
      <w:pPr>
        <w:rPr>
          <w:rFonts w:ascii="Times New Roman" w:hAnsi="Times New Roman" w:cs="Times New Roman"/>
        </w:rPr>
      </w:pPr>
    </w:p>
    <w:p w14:paraId="16D4CA65" w14:textId="77777777" w:rsidR="00450EBB" w:rsidRDefault="00450EBB"/>
    <w:sectPr w:rsidR="00450EBB" w:rsidSect="00E61A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AD0"/>
    <w:rsid w:val="001E08AF"/>
    <w:rsid w:val="00224038"/>
    <w:rsid w:val="00450EBB"/>
    <w:rsid w:val="004C3F3C"/>
    <w:rsid w:val="008455BA"/>
    <w:rsid w:val="00E61AD0"/>
    <w:rsid w:val="00E83C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9DFE3"/>
  <w15:chartTrackingRefBased/>
  <w15:docId w15:val="{EF7257D6-9274-4E44-89F8-027EB7214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AD0"/>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E61AD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E61AD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E61AD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E61AD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E61AD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E61AD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E61AD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E61AD0"/>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E61AD0"/>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A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1A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1A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1A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1A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1A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1A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1A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1AD0"/>
    <w:rPr>
      <w:rFonts w:eastAsiaTheme="majorEastAsia" w:cstheme="majorBidi"/>
      <w:color w:val="272727" w:themeColor="text1" w:themeTint="D8"/>
    </w:rPr>
  </w:style>
  <w:style w:type="paragraph" w:styleId="Title">
    <w:name w:val="Title"/>
    <w:basedOn w:val="Normal"/>
    <w:next w:val="Normal"/>
    <w:link w:val="TitleChar"/>
    <w:uiPriority w:val="10"/>
    <w:qFormat/>
    <w:rsid w:val="00E61AD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E61A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AD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E61A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AD0"/>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E61AD0"/>
    <w:rPr>
      <w:i/>
      <w:iCs/>
      <w:color w:val="404040" w:themeColor="text1" w:themeTint="BF"/>
    </w:rPr>
  </w:style>
  <w:style w:type="paragraph" w:styleId="ListParagraph">
    <w:name w:val="List Paragraph"/>
    <w:basedOn w:val="Normal"/>
    <w:uiPriority w:val="34"/>
    <w:qFormat/>
    <w:rsid w:val="00E61AD0"/>
    <w:pPr>
      <w:spacing w:after="160" w:line="278" w:lineRule="auto"/>
      <w:ind w:left="720"/>
      <w:contextualSpacing/>
    </w:pPr>
    <w:rPr>
      <w:rFonts w:asciiTheme="minorHAnsi" w:eastAsiaTheme="minorEastAsia"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E61AD0"/>
    <w:rPr>
      <w:i/>
      <w:iCs/>
      <w:color w:val="0F4761" w:themeColor="accent1" w:themeShade="BF"/>
    </w:rPr>
  </w:style>
  <w:style w:type="paragraph" w:styleId="IntenseQuote">
    <w:name w:val="Intense Quote"/>
    <w:basedOn w:val="Normal"/>
    <w:next w:val="Normal"/>
    <w:link w:val="IntenseQuoteChar"/>
    <w:uiPriority w:val="30"/>
    <w:qFormat/>
    <w:rsid w:val="00E61AD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E61AD0"/>
    <w:rPr>
      <w:i/>
      <w:iCs/>
      <w:color w:val="0F4761" w:themeColor="accent1" w:themeShade="BF"/>
    </w:rPr>
  </w:style>
  <w:style w:type="character" w:styleId="IntenseReference">
    <w:name w:val="Intense Reference"/>
    <w:basedOn w:val="DefaultParagraphFont"/>
    <w:uiPriority w:val="32"/>
    <w:qFormat/>
    <w:rsid w:val="00E61AD0"/>
    <w:rPr>
      <w:b/>
      <w:bCs/>
      <w:smallCaps/>
      <w:color w:val="0F4761" w:themeColor="accent1" w:themeShade="BF"/>
      <w:spacing w:val="5"/>
    </w:rPr>
  </w:style>
  <w:style w:type="character" w:styleId="Hyperlink">
    <w:name w:val="Hyperlink"/>
    <w:basedOn w:val="DefaultParagraphFont"/>
    <w:uiPriority w:val="99"/>
    <w:unhideWhenUsed/>
    <w:rsid w:val="00E61AD0"/>
    <w:rPr>
      <w:color w:val="467886" w:themeColor="hyperlink"/>
      <w:u w:val="single"/>
    </w:rPr>
  </w:style>
  <w:style w:type="paragraph" w:styleId="Revision">
    <w:name w:val="Revision"/>
    <w:hidden/>
    <w:uiPriority w:val="99"/>
    <w:semiHidden/>
    <w:rsid w:val="001E08AF"/>
    <w:pPr>
      <w:spacing w:after="0" w:line="240" w:lineRule="auto"/>
    </w:pPr>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d-hoc-news.de/boerse/news/corporate-news/valero-energy-stock-gains-on-board-expansion-and-strong-q2-margins/70128580" TargetMode="External"/><Relationship Id="rId5" Type="http://schemas.openxmlformats.org/officeDocument/2006/relationships/hyperlink" Target="https://stockstory.org/us/stocks/nyse/bac/news/earnings/bank-of-americas-nysebac-q2-cy2026-beats-on-revenue" TargetMode="External"/><Relationship Id="rId4" Type="http://schemas.openxmlformats.org/officeDocument/2006/relationships/hyperlink" Target="https://www.thestreet.com/investing/stocks/bank-of-america-stock-slides-after-investment-banking-fees-dec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949</Words>
  <Characters>5411</Characters>
  <Application>Microsoft Office Word</Application>
  <DocSecurity>0</DocSecurity>
  <Lines>45</Lines>
  <Paragraphs>12</Paragraphs>
  <ScaleCrop>false</ScaleCrop>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Grondin</dc:creator>
  <cp:keywords/>
  <dc:description/>
  <cp:lastModifiedBy>Jia Liu</cp:lastModifiedBy>
  <cp:revision>3</cp:revision>
  <dcterms:created xsi:type="dcterms:W3CDTF">2026-09-19T18:56:00Z</dcterms:created>
  <dcterms:modified xsi:type="dcterms:W3CDTF">2026-09-20T21:31:00Z</dcterms:modified>
</cp:coreProperties>
</file>