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12FD5F" w14:textId="77777777" w:rsidR="00ED41D0" w:rsidRPr="002F53BC" w:rsidRDefault="00ED41D0" w:rsidP="00ED41D0">
      <w:pPr>
        <w:jc w:val="center"/>
        <w:rPr>
          <w:rFonts w:ascii="Times New Roman" w:eastAsia="Times New Roman" w:hAnsi="Times New Roman" w:cs="Times New Roman"/>
          <w:b/>
          <w:bCs/>
        </w:rPr>
      </w:pPr>
      <w:r w:rsidRPr="002F53BC">
        <w:rPr>
          <w:rFonts w:ascii="Times New Roman" w:eastAsia="Times New Roman" w:hAnsi="Times New Roman" w:cs="Times New Roman"/>
          <w:b/>
          <w:bCs/>
        </w:rPr>
        <w:t>Husson Stock Index</w:t>
      </w:r>
    </w:p>
    <w:p w14:paraId="018F1130" w14:textId="77777777" w:rsidR="00ED41D0" w:rsidRPr="002F53BC" w:rsidRDefault="00ED41D0" w:rsidP="00ED41D0">
      <w:pPr>
        <w:jc w:val="center"/>
        <w:rPr>
          <w:rFonts w:ascii="Times New Roman" w:eastAsia="Times New Roman" w:hAnsi="Times New Roman" w:cs="Times New Roman"/>
          <w:b/>
          <w:bCs/>
        </w:rPr>
      </w:pPr>
      <w:r w:rsidRPr="002F53BC">
        <w:rPr>
          <w:rFonts w:ascii="Times New Roman" w:eastAsia="Times New Roman" w:hAnsi="Times New Roman" w:cs="Times New Roman"/>
          <w:b/>
          <w:bCs/>
        </w:rPr>
        <w:t xml:space="preserve">Friday, </w:t>
      </w:r>
      <w:r>
        <w:rPr>
          <w:rFonts w:ascii="Times New Roman" w:eastAsia="Times New Roman" w:hAnsi="Times New Roman" w:cs="Times New Roman"/>
          <w:b/>
          <w:bCs/>
        </w:rPr>
        <w:t>September 11th</w:t>
      </w:r>
      <w:r w:rsidRPr="002F53BC">
        <w:rPr>
          <w:rFonts w:ascii="Times New Roman" w:eastAsia="Times New Roman" w:hAnsi="Times New Roman" w:cs="Times New Roman"/>
          <w:b/>
          <w:bCs/>
        </w:rPr>
        <w:t>, 2026</w:t>
      </w:r>
    </w:p>
    <w:p w14:paraId="68931296" w14:textId="5B5AD8BD" w:rsidR="00ED41D0" w:rsidRPr="002F53BC" w:rsidRDefault="00ED41D0" w:rsidP="00ED41D0">
      <w:pPr>
        <w:rPr>
          <w:rFonts w:ascii="Times New Roman" w:eastAsia="Times New Roman" w:hAnsi="Times New Roman" w:cs="Times New Roman"/>
        </w:rPr>
      </w:pPr>
      <w:r w:rsidRPr="002F53BC">
        <w:rPr>
          <w:rFonts w:ascii="Times New Roman" w:eastAsia="Times New Roman" w:hAnsi="Times New Roman" w:cs="Times New Roman"/>
          <w:b/>
          <w:bCs/>
        </w:rPr>
        <w:tab/>
      </w:r>
      <w:r w:rsidRPr="002F53BC">
        <w:rPr>
          <w:rFonts w:ascii="Times New Roman" w:eastAsia="Times New Roman" w:hAnsi="Times New Roman" w:cs="Times New Roman"/>
        </w:rPr>
        <w:t xml:space="preserve">For the week ending </w:t>
      </w:r>
      <w:r w:rsidR="00F057DE">
        <w:rPr>
          <w:rFonts w:ascii="Times New Roman" w:eastAsia="Times New Roman" w:hAnsi="Times New Roman" w:cs="Times New Roman"/>
        </w:rPr>
        <w:t>September 11th</w:t>
      </w:r>
      <w:r w:rsidRPr="002F53BC">
        <w:rPr>
          <w:rFonts w:ascii="Times New Roman" w:eastAsia="Times New Roman" w:hAnsi="Times New Roman" w:cs="Times New Roman"/>
        </w:rPr>
        <w:t xml:space="preserve">, 2026, the Husson Stock Index (HSI) closed at </w:t>
      </w:r>
      <w:r w:rsidR="00F057DE">
        <w:rPr>
          <w:rFonts w:ascii="Times New Roman" w:eastAsia="Times New Roman" w:hAnsi="Times New Roman" w:cs="Times New Roman"/>
        </w:rPr>
        <w:t>256.34</w:t>
      </w:r>
      <w:r w:rsidRPr="002F53BC">
        <w:rPr>
          <w:rFonts w:ascii="Times New Roman" w:eastAsia="Times New Roman" w:hAnsi="Times New Roman" w:cs="Times New Roman"/>
        </w:rPr>
        <w:t>, a</w:t>
      </w:r>
      <w:r w:rsidR="00F057DE">
        <w:rPr>
          <w:rFonts w:ascii="Times New Roman" w:eastAsia="Times New Roman" w:hAnsi="Times New Roman" w:cs="Times New Roman"/>
        </w:rPr>
        <w:t xml:space="preserve"> decrease</w:t>
      </w:r>
      <w:r w:rsidRPr="002F53BC">
        <w:rPr>
          <w:rFonts w:ascii="Times New Roman" w:eastAsia="Times New Roman" w:hAnsi="Times New Roman" w:cs="Times New Roman"/>
        </w:rPr>
        <w:t xml:space="preserve"> of </w:t>
      </w:r>
      <w:r w:rsidR="00F057DE">
        <w:rPr>
          <w:rFonts w:ascii="Times New Roman" w:eastAsia="Times New Roman" w:hAnsi="Times New Roman" w:cs="Times New Roman"/>
        </w:rPr>
        <w:t>1.59</w:t>
      </w:r>
      <w:r w:rsidRPr="002F53BC">
        <w:rPr>
          <w:rFonts w:ascii="Times New Roman" w:eastAsia="Times New Roman" w:hAnsi="Times New Roman" w:cs="Times New Roman"/>
        </w:rPr>
        <w:t xml:space="preserve">% from the previous week. The new year-to-date (YTD) </w:t>
      </w:r>
      <w:r w:rsidR="00F057DE">
        <w:rPr>
          <w:rFonts w:ascii="Times New Roman" w:eastAsia="Times New Roman" w:hAnsi="Times New Roman" w:cs="Times New Roman"/>
        </w:rPr>
        <w:t>gain</w:t>
      </w:r>
      <w:r w:rsidR="00F057DE" w:rsidRPr="002F53BC">
        <w:rPr>
          <w:rFonts w:ascii="Times New Roman" w:eastAsia="Times New Roman" w:hAnsi="Times New Roman" w:cs="Times New Roman"/>
        </w:rPr>
        <w:t xml:space="preserve"> </w:t>
      </w:r>
      <w:r w:rsidRPr="002F53BC">
        <w:rPr>
          <w:rFonts w:ascii="Times New Roman" w:eastAsia="Times New Roman" w:hAnsi="Times New Roman" w:cs="Times New Roman"/>
        </w:rPr>
        <w:t xml:space="preserve">is now </w:t>
      </w:r>
      <w:r w:rsidR="00F057DE">
        <w:rPr>
          <w:rFonts w:ascii="Times New Roman" w:eastAsia="Times New Roman" w:hAnsi="Times New Roman" w:cs="Times New Roman"/>
        </w:rPr>
        <w:t>1.63%</w:t>
      </w:r>
      <w:r w:rsidRPr="002F53BC">
        <w:rPr>
          <w:rFonts w:ascii="Times New Roman" w:eastAsia="Times New Roman" w:hAnsi="Times New Roman" w:cs="Times New Roman"/>
        </w:rPr>
        <w:t>. The S&amp;P 500 (^GSPC) saw a</w:t>
      </w:r>
      <w:r w:rsidR="00F057DE">
        <w:rPr>
          <w:rFonts w:ascii="Times New Roman" w:eastAsia="Times New Roman" w:hAnsi="Times New Roman" w:cs="Times New Roman"/>
        </w:rPr>
        <w:t xml:space="preserve"> decrease</w:t>
      </w:r>
      <w:r w:rsidRPr="002F53BC">
        <w:rPr>
          <w:rFonts w:ascii="Times New Roman" w:eastAsia="Times New Roman" w:hAnsi="Times New Roman" w:cs="Times New Roman"/>
        </w:rPr>
        <w:t xml:space="preserve"> of 0.</w:t>
      </w:r>
      <w:r w:rsidR="00F057DE">
        <w:rPr>
          <w:rFonts w:ascii="Times New Roman" w:eastAsia="Times New Roman" w:hAnsi="Times New Roman" w:cs="Times New Roman"/>
        </w:rPr>
        <w:t>80</w:t>
      </w:r>
      <w:r w:rsidRPr="002F53BC">
        <w:rPr>
          <w:rFonts w:ascii="Times New Roman" w:eastAsia="Times New Roman" w:hAnsi="Times New Roman" w:cs="Times New Roman"/>
        </w:rPr>
        <w:t xml:space="preserve">% for the week, and a YTD total of </w:t>
      </w:r>
      <w:r w:rsidR="00F057DE">
        <w:rPr>
          <w:rFonts w:ascii="Times New Roman" w:eastAsia="Times New Roman" w:hAnsi="Times New Roman" w:cs="Times New Roman"/>
        </w:rPr>
        <w:t>11.64</w:t>
      </w:r>
      <w:r w:rsidRPr="002F53BC">
        <w:rPr>
          <w:rFonts w:ascii="Times New Roman" w:eastAsia="Times New Roman" w:hAnsi="Times New Roman" w:cs="Times New Roman"/>
        </w:rPr>
        <w:t xml:space="preserve">%. The Dow Jones Industrial Average (DJIA) saw a decrease of </w:t>
      </w:r>
      <w:r w:rsidR="00F057DE">
        <w:rPr>
          <w:rFonts w:ascii="Times New Roman" w:eastAsia="Times New Roman" w:hAnsi="Times New Roman" w:cs="Times New Roman"/>
        </w:rPr>
        <w:t>1.57</w:t>
      </w:r>
      <w:r w:rsidRPr="002F53BC">
        <w:rPr>
          <w:rFonts w:ascii="Times New Roman" w:eastAsia="Times New Roman" w:hAnsi="Times New Roman" w:cs="Times New Roman"/>
        </w:rPr>
        <w:t xml:space="preserve">%, bringing the YTD gain to </w:t>
      </w:r>
      <w:r w:rsidR="00F057DE">
        <w:rPr>
          <w:rFonts w:ascii="Times New Roman" w:eastAsia="Times New Roman" w:hAnsi="Times New Roman" w:cs="Times New Roman"/>
        </w:rPr>
        <w:t>8.66</w:t>
      </w:r>
      <w:r w:rsidRPr="002F53BC">
        <w:rPr>
          <w:rFonts w:ascii="Times New Roman" w:eastAsia="Times New Roman" w:hAnsi="Times New Roman" w:cs="Times New Roman"/>
        </w:rPr>
        <w:t>%.</w:t>
      </w:r>
    </w:p>
    <w:p w14:paraId="6D3CEE84" w14:textId="77777777" w:rsidR="00ED41D0" w:rsidRPr="002F53BC" w:rsidRDefault="00ED41D0" w:rsidP="00ED41D0">
      <w:pPr>
        <w:jc w:val="center"/>
        <w:rPr>
          <w:rFonts w:ascii="Times New Roman" w:eastAsia="Times New Roman" w:hAnsi="Times New Roman" w:cs="Times New Roman"/>
        </w:rPr>
      </w:pPr>
    </w:p>
    <w:p w14:paraId="55972414" w14:textId="77777777" w:rsidR="00ED41D0" w:rsidRPr="002F53BC" w:rsidRDefault="00ED41D0" w:rsidP="00ED41D0">
      <w:pPr>
        <w:jc w:val="center"/>
        <w:rPr>
          <w:rFonts w:ascii="Times New Roman" w:eastAsia="Times New Roman" w:hAnsi="Times New Roman" w:cs="Times New Roman"/>
          <w:b/>
          <w:bCs/>
        </w:rPr>
      </w:pPr>
      <w:r w:rsidRPr="002F53BC">
        <w:rPr>
          <w:rFonts w:ascii="Times New Roman" w:eastAsia="Times New Roman" w:hAnsi="Times New Roman" w:cs="Times New Roman"/>
          <w:b/>
          <w:bCs/>
        </w:rPr>
        <w:t>Summary</w:t>
      </w:r>
    </w:p>
    <w:p w14:paraId="22500349" w14:textId="0B769C82" w:rsidR="00ED41D0" w:rsidRPr="002F53BC" w:rsidRDefault="00ED41D0" w:rsidP="00ED41D0">
      <w:pPr>
        <w:rPr>
          <w:rFonts w:ascii="Times New Roman" w:eastAsia="Times New Roman" w:hAnsi="Times New Roman" w:cs="Times New Roman"/>
          <w:lang w:val="en-US"/>
        </w:rPr>
      </w:pPr>
      <w:r w:rsidRPr="002F53BC">
        <w:rPr>
          <w:rFonts w:ascii="Times New Roman" w:eastAsia="Times New Roman" w:hAnsi="Times New Roman" w:cs="Times New Roman"/>
        </w:rPr>
        <w:tab/>
      </w:r>
      <w:r w:rsidRPr="002F53BC">
        <w:rPr>
          <w:rFonts w:ascii="Times New Roman" w:eastAsia="Times New Roman" w:hAnsi="Times New Roman" w:cs="Times New Roman"/>
          <w:lang w:val="en-US"/>
        </w:rPr>
        <w:t>The HSI had 6 out of 24 stocks in the green this week, though two of those gained a single penny. The largest gain came from Valero Energy Corporation (VLO: NYSE). VLO increased almost $20 per share, from $370.72 to $390.42, a 5.31% increase. Valero has been on a sustained run rather than reacting to any one event, closing higher for eight consecutive trading days through September 10 on the back of tight refined product markets and rising diesel prices. The stock is now up 136.2% year-to-date and is the single largest reason the HSI is positive on the year.</w:t>
      </w:r>
    </w:p>
    <w:p w14:paraId="729AD032" w14:textId="77777777" w:rsidR="00ED41D0" w:rsidRPr="002F53BC" w:rsidRDefault="00ED41D0" w:rsidP="00ED41D0">
      <w:pPr>
        <w:ind w:firstLine="720"/>
        <w:rPr>
          <w:rFonts w:ascii="Times New Roman" w:eastAsia="Times New Roman" w:hAnsi="Times New Roman" w:cs="Times New Roman"/>
          <w:lang w:val="en-US"/>
        </w:rPr>
      </w:pPr>
      <w:r w:rsidRPr="002F53BC">
        <w:rPr>
          <w:rFonts w:ascii="Times New Roman" w:eastAsia="Times New Roman" w:hAnsi="Times New Roman" w:cs="Times New Roman"/>
          <w:lang w:val="en-US"/>
        </w:rPr>
        <w:t>The second largest gain came from PENN Entertainment, Inc. (PENN: NASDAQ). PENN saw an increase of 4.39%, from $17.07 to $17.82. There was no single catalyst this week, and the move is better understood as a continuation of a strong year. PENN was up 48.3% by early July, one of the best performers in a consumer discretionary group that was down 3.8% year-to-date, on the view that regional casinos are not being pinched by inflation and high gas prices the way their Las Vegas Strip counterparts are. The second quarter supported that thesis, with revenue rising to $1,857.4 million from $1,765.0 million and net income swinging to a $32.6 million profit from an $18.3 million loss a year earlier.</w:t>
      </w:r>
    </w:p>
    <w:p w14:paraId="383215B6" w14:textId="77777777" w:rsidR="00ED41D0" w:rsidRPr="002F53BC" w:rsidRDefault="00ED41D0" w:rsidP="00ED41D0">
      <w:pPr>
        <w:ind w:firstLine="720"/>
        <w:rPr>
          <w:rFonts w:ascii="Times New Roman" w:eastAsia="Times New Roman" w:hAnsi="Times New Roman" w:cs="Times New Roman"/>
          <w:lang w:val="en-US"/>
        </w:rPr>
      </w:pPr>
      <w:r w:rsidRPr="002F53BC">
        <w:rPr>
          <w:rFonts w:ascii="Times New Roman" w:eastAsia="Times New Roman" w:hAnsi="Times New Roman" w:cs="Times New Roman"/>
          <w:lang w:val="en-US"/>
        </w:rPr>
        <w:t>Out of the 18 stocks in the HSI that ended the week in the red, the biggest loss this week came from IDEXX Laboratories, Inc. (IDXX: NASDAQ). IDXX closed at $504.70, down from $535.38 last week, a decrease of 5.73%, finishing the week at a fresh 52-week low. The Westbrook, Maine company is now down 33.1% from its 52-week high of $769.98, a decline that has come despite growing results rather than because of deteriorating ones.</w:t>
      </w:r>
    </w:p>
    <w:p w14:paraId="7477B138" w14:textId="77777777" w:rsidR="00ED41D0" w:rsidRPr="002F53BC" w:rsidRDefault="00ED41D0" w:rsidP="00ED41D0">
      <w:pPr>
        <w:ind w:firstLine="720"/>
        <w:rPr>
          <w:rFonts w:ascii="Times New Roman" w:eastAsia="Times New Roman" w:hAnsi="Times New Roman" w:cs="Times New Roman"/>
          <w:lang w:val="en-US"/>
        </w:rPr>
      </w:pPr>
      <w:r w:rsidRPr="002F53BC">
        <w:rPr>
          <w:rFonts w:ascii="Times New Roman" w:eastAsia="Times New Roman" w:hAnsi="Times New Roman" w:cs="Times New Roman"/>
          <w:lang w:val="en-US"/>
        </w:rPr>
        <w:t xml:space="preserve">The second biggest loss in the HSI came from Charter Communications, Inc. (CHTR: NASDAQ). CHTR experienced a loss of 4.09%, sitting at $145.77 per share this week, down from $151.99 the previous week. Most of that damage came in a single session. On Wednesday, September 9, Comcast fell 7% after its Chief Financial Officer told the Goldman Sachs </w:t>
      </w:r>
      <w:proofErr w:type="spellStart"/>
      <w:r w:rsidRPr="002F53BC">
        <w:rPr>
          <w:rFonts w:ascii="Times New Roman" w:eastAsia="Times New Roman" w:hAnsi="Times New Roman" w:cs="Times New Roman"/>
          <w:lang w:val="en-US"/>
        </w:rPr>
        <w:t>Communacopia</w:t>
      </w:r>
      <w:proofErr w:type="spellEnd"/>
      <w:r w:rsidRPr="002F53BC">
        <w:rPr>
          <w:rFonts w:ascii="Times New Roman" w:eastAsia="Times New Roman" w:hAnsi="Times New Roman" w:cs="Times New Roman"/>
          <w:lang w:val="en-US"/>
        </w:rPr>
        <w:t xml:space="preserve"> + Technology Conference that fiber broadband pricing had become "irrational" and that the company expects no improvement in third-quarter broadband subscriber losses. Charter fell 5% in the same selloff, which was clearly targeted at cable rather than broad market weakness, as XLC fell just 0.6% and SPY 0.5% that day. This matters directly to Maine, where Charter's Spectrum is a major broadband provider, and the competitor doing the damage sits in this index as well. T-Mobile's fixed wireless service now delivers fiber-like speeds and keeps cable on the defensive. TMUS slipped 3% in that same Wednesday session but finished the week up 0.45%, one of only six HSI names to end higher.</w:t>
      </w:r>
    </w:p>
    <w:p w14:paraId="2ED6A3D6" w14:textId="77777777" w:rsidR="00ED41D0" w:rsidRPr="002F53BC" w:rsidRDefault="00ED41D0" w:rsidP="00ED41D0">
      <w:pPr>
        <w:rPr>
          <w:rFonts w:ascii="Times New Roman" w:eastAsia="Times New Roman" w:hAnsi="Times New Roman" w:cs="Times New Roman"/>
        </w:rPr>
      </w:pPr>
      <w:r w:rsidRPr="002F53BC">
        <w:rPr>
          <w:rFonts w:ascii="Times New Roman" w:eastAsia="Times New Roman" w:hAnsi="Times New Roman" w:cs="Times New Roman"/>
          <w:b/>
          <w:bCs/>
        </w:rPr>
        <w:tab/>
      </w:r>
    </w:p>
    <w:p w14:paraId="7B581132" w14:textId="77777777" w:rsidR="00ED41D0" w:rsidRPr="002F53BC" w:rsidRDefault="00ED41D0" w:rsidP="00ED41D0">
      <w:pPr>
        <w:rPr>
          <w:rFonts w:ascii="Times New Roman" w:eastAsia="Times New Roman" w:hAnsi="Times New Roman" w:cs="Times New Roman"/>
        </w:rPr>
      </w:pPr>
    </w:p>
    <w:p w14:paraId="7C989DCD" w14:textId="77777777" w:rsidR="00ED41D0" w:rsidRPr="002F53BC" w:rsidRDefault="00ED41D0" w:rsidP="00ED41D0">
      <w:pPr>
        <w:rPr>
          <w:rFonts w:ascii="Times New Roman" w:eastAsia="Times New Roman" w:hAnsi="Times New Roman" w:cs="Times New Roman"/>
        </w:rPr>
      </w:pPr>
    </w:p>
    <w:p w14:paraId="05EABE62" w14:textId="77777777" w:rsidR="00ED41D0" w:rsidRPr="002F53BC" w:rsidRDefault="00ED41D0" w:rsidP="00ED41D0">
      <w:pPr>
        <w:rPr>
          <w:rFonts w:ascii="Times New Roman" w:eastAsia="Times New Roman" w:hAnsi="Times New Roman" w:cs="Times New Roman"/>
        </w:rPr>
      </w:pPr>
    </w:p>
    <w:p w14:paraId="1996614A" w14:textId="77777777" w:rsidR="00ED41D0" w:rsidRPr="002F53BC" w:rsidRDefault="00ED41D0" w:rsidP="00ED41D0">
      <w:pPr>
        <w:rPr>
          <w:rFonts w:ascii="Times New Roman" w:eastAsia="Times New Roman" w:hAnsi="Times New Roman" w:cs="Times New Roman"/>
        </w:rPr>
      </w:pPr>
      <w:r w:rsidRPr="002F53BC">
        <w:rPr>
          <w:rFonts w:ascii="Times New Roman" w:eastAsia="Times New Roman" w:hAnsi="Times New Roman" w:cs="Times New Roman"/>
        </w:rPr>
        <w:tab/>
      </w:r>
    </w:p>
    <w:p w14:paraId="391F0363" w14:textId="77777777" w:rsidR="00ED41D0" w:rsidRPr="002F53BC" w:rsidRDefault="00ED41D0" w:rsidP="00ED41D0">
      <w:pPr>
        <w:rPr>
          <w:rFonts w:ascii="Times New Roman" w:eastAsia="Times New Roman" w:hAnsi="Times New Roman" w:cs="Times New Roman"/>
        </w:rPr>
      </w:pPr>
    </w:p>
    <w:p w14:paraId="75D1CCF2" w14:textId="77777777" w:rsidR="00ED41D0" w:rsidRPr="002F53BC" w:rsidRDefault="00ED41D0" w:rsidP="00ED41D0">
      <w:pPr>
        <w:rPr>
          <w:rFonts w:ascii="Times New Roman" w:eastAsia="Times New Roman" w:hAnsi="Times New Roman" w:cs="Times New Roman"/>
        </w:rPr>
      </w:pPr>
    </w:p>
    <w:p w14:paraId="0CB053E8" w14:textId="77777777" w:rsidR="00ED41D0" w:rsidRPr="002F53BC" w:rsidRDefault="00ED41D0" w:rsidP="00ED41D0">
      <w:pPr>
        <w:jc w:val="center"/>
        <w:rPr>
          <w:rFonts w:ascii="Times New Roman" w:eastAsia="Times New Roman" w:hAnsi="Times New Roman" w:cs="Times New Roman"/>
          <w:b/>
          <w:bCs/>
        </w:rPr>
      </w:pPr>
      <w:r w:rsidRPr="002F53BC">
        <w:rPr>
          <w:rFonts w:ascii="Times New Roman" w:eastAsia="Times New Roman" w:hAnsi="Times New Roman" w:cs="Times New Roman"/>
          <w:b/>
          <w:bCs/>
        </w:rPr>
        <w:lastRenderedPageBreak/>
        <w:t>Overview</w:t>
      </w:r>
    </w:p>
    <w:p w14:paraId="638FA5A6" w14:textId="605EE75D" w:rsidR="00ED41D0" w:rsidRPr="002F53BC" w:rsidRDefault="00ED41D0" w:rsidP="00ED41D0">
      <w:pPr>
        <w:ind w:firstLine="720"/>
        <w:rPr>
          <w:rFonts w:ascii="Times New Roman" w:eastAsia="Times New Roman" w:hAnsi="Times New Roman" w:cs="Times New Roman"/>
        </w:rPr>
      </w:pPr>
      <w:r w:rsidRPr="002F53BC">
        <w:rPr>
          <w:rFonts w:ascii="Times New Roman" w:eastAsia="Times New Roman" w:hAnsi="Times New Roman" w:cs="Times New Roman"/>
        </w:rPr>
        <w:t xml:space="preserve">The HSI was developed by Marie Kenney, while a student at Husson University, in consultation with Associate Professor J. Douglas Wellington. The index is currently being tracked and analyzed by Husson student </w:t>
      </w:r>
      <w:r w:rsidR="004C0A06">
        <w:rPr>
          <w:rFonts w:ascii="Times New Roman" w:eastAsia="Times New Roman" w:hAnsi="Times New Roman" w:cs="Times New Roman"/>
        </w:rPr>
        <w:t>Cooper Grondin</w:t>
      </w:r>
      <w:r w:rsidRPr="002F53BC">
        <w:rPr>
          <w:rFonts w:ascii="Times New Roman" w:eastAsia="Times New Roman" w:hAnsi="Times New Roman" w:cs="Times New Roman"/>
        </w:rPr>
        <w:t xml:space="preserve"> under the supervision of the Associate Professor of Finance, Dr. Jia Liu. The HSI currently tracks and analyzes the stocks of 24 companies that are considered to impact the Maine economy. These companies are either based in Maine or have an influence on the Maine economy through employment or consumer spending. This price-weighted index offers a numerical breakdown of Maine’s economy. The analysis investigates the events of the week and finds the likely reasons the index went up or down. This index and analysis help provide a better understanding of Maine’s economy as well as explain significant changes in stock prices of the companies that comprise the HSI.</w:t>
      </w:r>
    </w:p>
    <w:p w14:paraId="18D2BE41" w14:textId="77777777" w:rsidR="00ED41D0" w:rsidRPr="002F53BC" w:rsidRDefault="00ED41D0" w:rsidP="00ED41D0">
      <w:pPr>
        <w:rPr>
          <w:rFonts w:ascii="Times New Roman" w:eastAsia="Times New Roman" w:hAnsi="Times New Roman" w:cs="Times New Roman"/>
        </w:rPr>
      </w:pPr>
    </w:p>
    <w:p w14:paraId="67D97B22" w14:textId="77777777" w:rsidR="00ED41D0" w:rsidRPr="002F53BC" w:rsidRDefault="00ED41D0" w:rsidP="00ED41D0">
      <w:pPr>
        <w:rPr>
          <w:rFonts w:ascii="Times New Roman" w:eastAsia="Times New Roman" w:hAnsi="Times New Roman" w:cs="Times New Roman"/>
        </w:rPr>
      </w:pPr>
    </w:p>
    <w:p w14:paraId="1D55B80C" w14:textId="77777777" w:rsidR="00ED41D0" w:rsidRPr="002F53BC" w:rsidRDefault="00ED41D0" w:rsidP="00ED41D0">
      <w:pPr>
        <w:rPr>
          <w:rFonts w:ascii="Times New Roman" w:eastAsia="Times New Roman" w:hAnsi="Times New Roman" w:cs="Times New Roman"/>
        </w:rPr>
      </w:pPr>
    </w:p>
    <w:p w14:paraId="7C825F06" w14:textId="77777777" w:rsidR="00ED41D0" w:rsidRPr="002F53BC" w:rsidRDefault="00ED41D0" w:rsidP="00ED41D0">
      <w:pPr>
        <w:rPr>
          <w:rFonts w:ascii="Times New Roman" w:eastAsia="Times New Roman" w:hAnsi="Times New Roman" w:cs="Times New Roman"/>
        </w:rPr>
      </w:pPr>
    </w:p>
    <w:p w14:paraId="30847200" w14:textId="77777777" w:rsidR="00ED41D0" w:rsidRPr="002F53BC" w:rsidRDefault="00ED41D0" w:rsidP="00ED41D0">
      <w:pPr>
        <w:rPr>
          <w:rFonts w:ascii="Times New Roman" w:eastAsia="Times New Roman" w:hAnsi="Times New Roman" w:cs="Times New Roman"/>
        </w:rPr>
      </w:pPr>
    </w:p>
    <w:p w14:paraId="6416378D" w14:textId="77777777" w:rsidR="00ED41D0" w:rsidRPr="002F53BC" w:rsidRDefault="00ED41D0" w:rsidP="00ED41D0">
      <w:pPr>
        <w:rPr>
          <w:rFonts w:ascii="Times New Roman" w:eastAsia="Times New Roman" w:hAnsi="Times New Roman" w:cs="Times New Roman"/>
        </w:rPr>
      </w:pPr>
    </w:p>
    <w:p w14:paraId="435DF5FD" w14:textId="77777777" w:rsidR="00ED41D0" w:rsidRPr="002F53BC" w:rsidRDefault="00ED41D0" w:rsidP="00ED41D0">
      <w:pPr>
        <w:rPr>
          <w:rFonts w:ascii="Times New Roman" w:eastAsia="Times New Roman" w:hAnsi="Times New Roman" w:cs="Times New Roman"/>
        </w:rPr>
      </w:pPr>
    </w:p>
    <w:p w14:paraId="06B2B59E" w14:textId="77777777" w:rsidR="00ED41D0" w:rsidRPr="002F53BC" w:rsidRDefault="00ED41D0" w:rsidP="00ED41D0">
      <w:pPr>
        <w:rPr>
          <w:rFonts w:ascii="Times New Roman" w:eastAsia="Times New Roman" w:hAnsi="Times New Roman" w:cs="Times New Roman"/>
        </w:rPr>
      </w:pPr>
    </w:p>
    <w:p w14:paraId="10EE258D" w14:textId="77777777" w:rsidR="00ED41D0" w:rsidRPr="002F53BC" w:rsidRDefault="00ED41D0" w:rsidP="00ED41D0">
      <w:pPr>
        <w:rPr>
          <w:rFonts w:ascii="Times New Roman" w:eastAsia="Times New Roman" w:hAnsi="Times New Roman" w:cs="Times New Roman"/>
        </w:rPr>
      </w:pPr>
    </w:p>
    <w:p w14:paraId="1B2339B6" w14:textId="77777777" w:rsidR="00ED41D0" w:rsidRPr="002F53BC" w:rsidRDefault="00ED41D0" w:rsidP="00ED41D0">
      <w:pPr>
        <w:rPr>
          <w:rFonts w:ascii="Times New Roman" w:eastAsia="Times New Roman" w:hAnsi="Times New Roman" w:cs="Times New Roman"/>
        </w:rPr>
      </w:pPr>
    </w:p>
    <w:p w14:paraId="3169CA64" w14:textId="77777777" w:rsidR="00ED41D0" w:rsidRPr="002F53BC" w:rsidRDefault="00ED41D0" w:rsidP="00ED41D0">
      <w:pPr>
        <w:rPr>
          <w:rFonts w:ascii="Times New Roman" w:eastAsia="Times New Roman" w:hAnsi="Times New Roman" w:cs="Times New Roman"/>
        </w:rPr>
      </w:pPr>
    </w:p>
    <w:p w14:paraId="42863EE9" w14:textId="77777777" w:rsidR="00ED41D0" w:rsidRPr="002F53BC" w:rsidRDefault="00ED41D0" w:rsidP="00ED41D0">
      <w:pPr>
        <w:rPr>
          <w:rFonts w:ascii="Times New Roman" w:eastAsia="Times New Roman" w:hAnsi="Times New Roman" w:cs="Times New Roman"/>
        </w:rPr>
      </w:pPr>
    </w:p>
    <w:p w14:paraId="33284FA8" w14:textId="77777777" w:rsidR="00ED41D0" w:rsidRPr="002F53BC" w:rsidRDefault="00ED41D0" w:rsidP="00ED41D0">
      <w:pPr>
        <w:rPr>
          <w:rFonts w:ascii="Times New Roman" w:eastAsia="Times New Roman" w:hAnsi="Times New Roman" w:cs="Times New Roman"/>
        </w:rPr>
      </w:pPr>
    </w:p>
    <w:p w14:paraId="2C849FCC" w14:textId="77777777" w:rsidR="00ED41D0" w:rsidRPr="002F53BC" w:rsidRDefault="00ED41D0" w:rsidP="00ED41D0">
      <w:pPr>
        <w:rPr>
          <w:rFonts w:ascii="Times New Roman" w:eastAsia="Times New Roman" w:hAnsi="Times New Roman" w:cs="Times New Roman"/>
        </w:rPr>
      </w:pPr>
    </w:p>
    <w:p w14:paraId="76F31EB0" w14:textId="77777777" w:rsidR="00ED41D0" w:rsidRPr="002F53BC" w:rsidRDefault="00ED41D0" w:rsidP="00ED41D0">
      <w:pPr>
        <w:rPr>
          <w:rFonts w:ascii="Times New Roman" w:eastAsia="Times New Roman" w:hAnsi="Times New Roman" w:cs="Times New Roman"/>
        </w:rPr>
      </w:pPr>
    </w:p>
    <w:p w14:paraId="67ED2E03" w14:textId="77777777" w:rsidR="00ED41D0" w:rsidRPr="002F53BC" w:rsidRDefault="00ED41D0" w:rsidP="00ED41D0">
      <w:pPr>
        <w:rPr>
          <w:rFonts w:ascii="Times New Roman" w:eastAsia="Times New Roman" w:hAnsi="Times New Roman" w:cs="Times New Roman"/>
        </w:rPr>
      </w:pPr>
    </w:p>
    <w:p w14:paraId="110B0E79" w14:textId="77777777" w:rsidR="00ED41D0" w:rsidRPr="002F53BC" w:rsidRDefault="00ED41D0" w:rsidP="00ED41D0">
      <w:pPr>
        <w:rPr>
          <w:rFonts w:ascii="Times New Roman" w:eastAsia="Times New Roman" w:hAnsi="Times New Roman" w:cs="Times New Roman"/>
        </w:rPr>
      </w:pPr>
    </w:p>
    <w:p w14:paraId="7036E237" w14:textId="77777777" w:rsidR="00ED41D0" w:rsidRPr="002F53BC" w:rsidRDefault="00ED41D0" w:rsidP="00ED41D0">
      <w:pPr>
        <w:rPr>
          <w:rFonts w:ascii="Times New Roman" w:eastAsia="Times New Roman" w:hAnsi="Times New Roman" w:cs="Times New Roman"/>
        </w:rPr>
      </w:pPr>
    </w:p>
    <w:p w14:paraId="049142E8" w14:textId="77777777" w:rsidR="00ED41D0" w:rsidRPr="002F53BC" w:rsidRDefault="00ED41D0" w:rsidP="00ED41D0">
      <w:pPr>
        <w:rPr>
          <w:rFonts w:ascii="Times New Roman" w:eastAsia="Times New Roman" w:hAnsi="Times New Roman" w:cs="Times New Roman"/>
        </w:rPr>
      </w:pPr>
    </w:p>
    <w:p w14:paraId="53C0798C" w14:textId="77777777" w:rsidR="00ED41D0" w:rsidRPr="002F53BC" w:rsidRDefault="00ED41D0" w:rsidP="00ED41D0">
      <w:pPr>
        <w:rPr>
          <w:rFonts w:ascii="Times New Roman" w:eastAsia="Times New Roman" w:hAnsi="Times New Roman" w:cs="Times New Roman"/>
        </w:rPr>
      </w:pPr>
    </w:p>
    <w:p w14:paraId="1A03E3B3" w14:textId="77777777" w:rsidR="00ED41D0" w:rsidRPr="002F53BC" w:rsidRDefault="00ED41D0" w:rsidP="00ED41D0">
      <w:pPr>
        <w:rPr>
          <w:rFonts w:ascii="Times New Roman" w:eastAsia="Times New Roman" w:hAnsi="Times New Roman" w:cs="Times New Roman"/>
        </w:rPr>
      </w:pPr>
    </w:p>
    <w:p w14:paraId="22431CD3" w14:textId="77777777" w:rsidR="00ED41D0" w:rsidRPr="002F53BC" w:rsidRDefault="00ED41D0" w:rsidP="00ED41D0">
      <w:pPr>
        <w:rPr>
          <w:rFonts w:ascii="Times New Roman" w:eastAsia="Times New Roman" w:hAnsi="Times New Roman" w:cs="Times New Roman"/>
        </w:rPr>
      </w:pPr>
    </w:p>
    <w:p w14:paraId="03B5997B" w14:textId="77777777" w:rsidR="00ED41D0" w:rsidRPr="002F53BC" w:rsidRDefault="00ED41D0" w:rsidP="00ED41D0">
      <w:pPr>
        <w:rPr>
          <w:rFonts w:ascii="Times New Roman" w:eastAsia="Times New Roman" w:hAnsi="Times New Roman" w:cs="Times New Roman"/>
        </w:rPr>
      </w:pPr>
    </w:p>
    <w:p w14:paraId="68CDBA74" w14:textId="77777777" w:rsidR="00ED41D0" w:rsidRPr="002F53BC" w:rsidRDefault="00ED41D0" w:rsidP="00ED41D0">
      <w:pPr>
        <w:rPr>
          <w:rFonts w:ascii="Times New Roman" w:eastAsia="Times New Roman" w:hAnsi="Times New Roman" w:cs="Times New Roman"/>
        </w:rPr>
      </w:pPr>
    </w:p>
    <w:p w14:paraId="3776EBE0" w14:textId="77777777" w:rsidR="00ED41D0" w:rsidRPr="002F53BC" w:rsidRDefault="00ED41D0" w:rsidP="00ED41D0">
      <w:pPr>
        <w:rPr>
          <w:rFonts w:ascii="Times New Roman" w:eastAsia="Times New Roman" w:hAnsi="Times New Roman" w:cs="Times New Roman"/>
        </w:rPr>
      </w:pPr>
    </w:p>
    <w:p w14:paraId="6843D441" w14:textId="77777777" w:rsidR="00ED41D0" w:rsidRPr="002F53BC" w:rsidRDefault="00ED41D0" w:rsidP="00ED41D0">
      <w:pPr>
        <w:rPr>
          <w:rFonts w:ascii="Times New Roman" w:eastAsia="Times New Roman" w:hAnsi="Times New Roman" w:cs="Times New Roman"/>
        </w:rPr>
      </w:pPr>
    </w:p>
    <w:p w14:paraId="0D32A053" w14:textId="77777777" w:rsidR="00ED41D0" w:rsidRPr="002F53BC" w:rsidRDefault="00ED41D0" w:rsidP="00ED41D0">
      <w:pPr>
        <w:rPr>
          <w:rFonts w:ascii="Times New Roman" w:eastAsia="Times New Roman" w:hAnsi="Times New Roman" w:cs="Times New Roman"/>
        </w:rPr>
      </w:pPr>
    </w:p>
    <w:p w14:paraId="6A3D5A67" w14:textId="77777777" w:rsidR="00ED41D0" w:rsidRPr="002F53BC" w:rsidRDefault="00ED41D0" w:rsidP="00ED41D0">
      <w:pPr>
        <w:rPr>
          <w:rFonts w:ascii="Times New Roman" w:eastAsia="Times New Roman" w:hAnsi="Times New Roman" w:cs="Times New Roman"/>
        </w:rPr>
      </w:pPr>
    </w:p>
    <w:p w14:paraId="4EC221D8" w14:textId="77777777" w:rsidR="00ED41D0" w:rsidRPr="002F53BC" w:rsidRDefault="00ED41D0" w:rsidP="00ED41D0">
      <w:pPr>
        <w:rPr>
          <w:rFonts w:ascii="Times New Roman" w:eastAsia="Times New Roman" w:hAnsi="Times New Roman" w:cs="Times New Roman"/>
        </w:rPr>
      </w:pPr>
    </w:p>
    <w:p w14:paraId="0899420D" w14:textId="77777777" w:rsidR="00ED41D0" w:rsidRPr="002F53BC" w:rsidRDefault="00ED41D0" w:rsidP="00ED41D0">
      <w:pPr>
        <w:rPr>
          <w:rFonts w:ascii="Times New Roman" w:eastAsia="Times New Roman" w:hAnsi="Times New Roman" w:cs="Times New Roman"/>
        </w:rPr>
      </w:pPr>
    </w:p>
    <w:p w14:paraId="7A879362" w14:textId="77777777" w:rsidR="00ED41D0" w:rsidRPr="002F53BC" w:rsidRDefault="00ED41D0" w:rsidP="00ED41D0">
      <w:pPr>
        <w:rPr>
          <w:rFonts w:ascii="Times New Roman" w:eastAsia="Times New Roman" w:hAnsi="Times New Roman" w:cs="Times New Roman"/>
        </w:rPr>
      </w:pPr>
    </w:p>
    <w:p w14:paraId="3E2E0C50" w14:textId="77777777" w:rsidR="00ED41D0" w:rsidRPr="002F53BC" w:rsidRDefault="00ED41D0" w:rsidP="00ED41D0">
      <w:pPr>
        <w:rPr>
          <w:rFonts w:ascii="Times New Roman" w:eastAsia="Times New Roman" w:hAnsi="Times New Roman" w:cs="Times New Roman"/>
        </w:rPr>
      </w:pPr>
    </w:p>
    <w:p w14:paraId="079B40B1" w14:textId="77777777" w:rsidR="00ED41D0" w:rsidRPr="002F53BC" w:rsidRDefault="00ED41D0" w:rsidP="00ED41D0">
      <w:pPr>
        <w:rPr>
          <w:rFonts w:ascii="Times New Roman" w:eastAsia="Times New Roman" w:hAnsi="Times New Roman" w:cs="Times New Roman"/>
        </w:rPr>
      </w:pPr>
    </w:p>
    <w:p w14:paraId="6A0D81CB" w14:textId="77777777" w:rsidR="00ED41D0" w:rsidRPr="002F53BC" w:rsidRDefault="00ED41D0" w:rsidP="00ED41D0">
      <w:pPr>
        <w:rPr>
          <w:rFonts w:ascii="Times New Roman" w:eastAsia="Times New Roman" w:hAnsi="Times New Roman" w:cs="Times New Roman"/>
        </w:rPr>
      </w:pPr>
    </w:p>
    <w:p w14:paraId="23392B21" w14:textId="77777777" w:rsidR="00ED41D0" w:rsidRPr="002F53BC" w:rsidRDefault="00ED41D0" w:rsidP="00ED41D0">
      <w:pPr>
        <w:jc w:val="center"/>
        <w:rPr>
          <w:rFonts w:ascii="Times New Roman" w:eastAsia="Times New Roman" w:hAnsi="Times New Roman" w:cs="Times New Roman"/>
          <w:b/>
          <w:bCs/>
          <w:lang w:val="en-US"/>
        </w:rPr>
      </w:pPr>
      <w:r w:rsidRPr="002F53BC">
        <w:rPr>
          <w:rFonts w:ascii="Times New Roman" w:eastAsia="Times New Roman" w:hAnsi="Times New Roman" w:cs="Times New Roman"/>
          <w:b/>
          <w:bCs/>
          <w:lang w:val="en-US"/>
        </w:rPr>
        <w:lastRenderedPageBreak/>
        <w:t>References</w:t>
      </w:r>
    </w:p>
    <w:p w14:paraId="6338576B" w14:textId="77777777" w:rsidR="00ED41D0" w:rsidRPr="002F53BC" w:rsidRDefault="00ED41D0" w:rsidP="00ED41D0">
      <w:pPr>
        <w:ind w:left="720" w:hanging="720"/>
        <w:rPr>
          <w:rFonts w:ascii="Times New Roman" w:eastAsia="Times New Roman" w:hAnsi="Times New Roman" w:cs="Times New Roman"/>
          <w:lang w:val="en-US"/>
        </w:rPr>
      </w:pPr>
      <w:r w:rsidRPr="002F53BC">
        <w:rPr>
          <w:rFonts w:ascii="Times New Roman" w:eastAsia="Times New Roman" w:hAnsi="Times New Roman" w:cs="Times New Roman"/>
          <w:i/>
          <w:iCs/>
          <w:lang w:val="en-US"/>
        </w:rPr>
        <w:t>Comcast drops 7% on persistent broadband losses and "irrational" fiber pricing</w:t>
      </w:r>
      <w:r w:rsidRPr="002F53BC">
        <w:rPr>
          <w:rFonts w:ascii="Times New Roman" w:eastAsia="Times New Roman" w:hAnsi="Times New Roman" w:cs="Times New Roman"/>
          <w:lang w:val="en-US"/>
        </w:rPr>
        <w:t xml:space="preserve">. (2026, September 9). Investing.com. </w:t>
      </w:r>
      <w:hyperlink r:id="rId4" w:history="1">
        <w:r w:rsidRPr="002F53BC">
          <w:rPr>
            <w:rStyle w:val="Hyperlink"/>
            <w:rFonts w:ascii="Times New Roman" w:eastAsia="Times New Roman" w:hAnsi="Times New Roman" w:cs="Times New Roman"/>
            <w:lang w:val="en-US"/>
          </w:rPr>
          <w:t>https://ca.investing.com/news/stock-market-news/comcast-drops-7-on-persistent-broadband-losses-and-irrational-fiber-pricing-4833144</w:t>
        </w:r>
      </w:hyperlink>
    </w:p>
    <w:p w14:paraId="037E9A30" w14:textId="77777777" w:rsidR="00ED41D0" w:rsidRPr="002F53BC" w:rsidRDefault="00ED41D0" w:rsidP="00ED41D0">
      <w:pPr>
        <w:ind w:left="720" w:hanging="720"/>
        <w:rPr>
          <w:rFonts w:ascii="Times New Roman" w:eastAsia="Times New Roman" w:hAnsi="Times New Roman" w:cs="Times New Roman"/>
          <w:lang w:val="en-US"/>
        </w:rPr>
      </w:pPr>
      <w:r w:rsidRPr="002F53BC">
        <w:rPr>
          <w:rFonts w:ascii="Times New Roman" w:eastAsia="Times New Roman" w:hAnsi="Times New Roman" w:cs="Times New Roman"/>
          <w:i/>
          <w:iCs/>
          <w:lang w:val="en-US"/>
        </w:rPr>
        <w:t>Is IDEXX Laboratories stock underperforming the Dow?</w:t>
      </w:r>
      <w:r w:rsidRPr="002F53BC">
        <w:rPr>
          <w:rFonts w:ascii="Times New Roman" w:eastAsia="Times New Roman" w:hAnsi="Times New Roman" w:cs="Times New Roman"/>
          <w:lang w:val="en-US"/>
        </w:rPr>
        <w:t xml:space="preserve"> (2026, September 10). Yahoo Finance. </w:t>
      </w:r>
      <w:hyperlink r:id="rId5" w:history="1">
        <w:r w:rsidRPr="002F53BC">
          <w:rPr>
            <w:rStyle w:val="Hyperlink"/>
            <w:rFonts w:ascii="Times New Roman" w:eastAsia="Times New Roman" w:hAnsi="Times New Roman" w:cs="Times New Roman"/>
            <w:lang w:val="en-US"/>
          </w:rPr>
          <w:t>https://finance.yahoo.com/markets/stocks/articles/idexx-laboratories-stock-underperforming-dow-092107446.html</w:t>
        </w:r>
      </w:hyperlink>
    </w:p>
    <w:p w14:paraId="2AEDCFA6" w14:textId="77777777" w:rsidR="00ED41D0" w:rsidRPr="002F53BC" w:rsidRDefault="00ED41D0" w:rsidP="00ED41D0">
      <w:pPr>
        <w:ind w:left="720" w:hanging="720"/>
        <w:rPr>
          <w:rFonts w:ascii="Times New Roman" w:eastAsia="Times New Roman" w:hAnsi="Times New Roman" w:cs="Times New Roman"/>
          <w:lang w:val="en-US"/>
        </w:rPr>
      </w:pPr>
      <w:r w:rsidRPr="002F53BC">
        <w:rPr>
          <w:rFonts w:ascii="Times New Roman" w:eastAsia="Times New Roman" w:hAnsi="Times New Roman" w:cs="Times New Roman"/>
          <w:lang w:val="en-US"/>
        </w:rPr>
        <w:t xml:space="preserve">PENN Entertainment, Inc. (2026, August 6). </w:t>
      </w:r>
      <w:r w:rsidRPr="002F53BC">
        <w:rPr>
          <w:rFonts w:ascii="Times New Roman" w:eastAsia="Times New Roman" w:hAnsi="Times New Roman" w:cs="Times New Roman"/>
          <w:i/>
          <w:iCs/>
          <w:lang w:val="en-US"/>
        </w:rPr>
        <w:t>PENN Entertainment, Inc. reports second quarter results</w:t>
      </w:r>
      <w:r w:rsidRPr="002F53BC">
        <w:rPr>
          <w:rFonts w:ascii="Times New Roman" w:eastAsia="Times New Roman" w:hAnsi="Times New Roman" w:cs="Times New Roman"/>
          <w:lang w:val="en-US"/>
        </w:rPr>
        <w:t xml:space="preserve"> [Press release]. </w:t>
      </w:r>
      <w:hyperlink r:id="rId6" w:history="1">
        <w:r w:rsidRPr="002F53BC">
          <w:rPr>
            <w:rStyle w:val="Hyperlink"/>
            <w:rFonts w:ascii="Times New Roman" w:eastAsia="Times New Roman" w:hAnsi="Times New Roman" w:cs="Times New Roman"/>
            <w:lang w:val="en-US"/>
          </w:rPr>
          <w:t>https://investors.pennentertainment.com/</w:t>
        </w:r>
      </w:hyperlink>
    </w:p>
    <w:p w14:paraId="0043CD3A" w14:textId="77777777" w:rsidR="00ED41D0" w:rsidRPr="002F53BC" w:rsidRDefault="00ED41D0" w:rsidP="00ED41D0">
      <w:pPr>
        <w:ind w:left="720" w:hanging="720"/>
        <w:rPr>
          <w:rFonts w:ascii="Times New Roman" w:eastAsia="Times New Roman" w:hAnsi="Times New Roman" w:cs="Times New Roman"/>
          <w:lang w:val="en-US"/>
        </w:rPr>
      </w:pPr>
      <w:proofErr w:type="spellStart"/>
      <w:r w:rsidRPr="002F53BC">
        <w:rPr>
          <w:rFonts w:ascii="Times New Roman" w:eastAsia="Times New Roman" w:hAnsi="Times New Roman" w:cs="Times New Roman"/>
          <w:lang w:val="en-US"/>
        </w:rPr>
        <w:t>Trefis</w:t>
      </w:r>
      <w:proofErr w:type="spellEnd"/>
      <w:r w:rsidRPr="002F53BC">
        <w:rPr>
          <w:rFonts w:ascii="Times New Roman" w:eastAsia="Times New Roman" w:hAnsi="Times New Roman" w:cs="Times New Roman"/>
          <w:lang w:val="en-US"/>
        </w:rPr>
        <w:t xml:space="preserve"> Team. (2026, September 10). </w:t>
      </w:r>
      <w:r w:rsidRPr="002F53BC">
        <w:rPr>
          <w:rFonts w:ascii="Times New Roman" w:eastAsia="Times New Roman" w:hAnsi="Times New Roman" w:cs="Times New Roman"/>
          <w:i/>
          <w:iCs/>
          <w:lang w:val="en-US"/>
        </w:rPr>
        <w:t>Valero Energy stock climbs 12% on an 8-day winning streak</w:t>
      </w:r>
      <w:r w:rsidRPr="002F53BC">
        <w:rPr>
          <w:rFonts w:ascii="Times New Roman" w:eastAsia="Times New Roman" w:hAnsi="Times New Roman" w:cs="Times New Roman"/>
          <w:lang w:val="en-US"/>
        </w:rPr>
        <w:t xml:space="preserve">. </w:t>
      </w:r>
      <w:proofErr w:type="spellStart"/>
      <w:r w:rsidRPr="002F53BC">
        <w:rPr>
          <w:rFonts w:ascii="Times New Roman" w:eastAsia="Times New Roman" w:hAnsi="Times New Roman" w:cs="Times New Roman"/>
          <w:lang w:val="en-US"/>
        </w:rPr>
        <w:t>Trefis</w:t>
      </w:r>
      <w:proofErr w:type="spellEnd"/>
      <w:r w:rsidRPr="002F53BC">
        <w:rPr>
          <w:rFonts w:ascii="Times New Roman" w:eastAsia="Times New Roman" w:hAnsi="Times New Roman" w:cs="Times New Roman"/>
          <w:lang w:val="en-US"/>
        </w:rPr>
        <w:t xml:space="preserve">. </w:t>
      </w:r>
      <w:hyperlink r:id="rId7" w:history="1">
        <w:r w:rsidRPr="002F53BC">
          <w:rPr>
            <w:rStyle w:val="Hyperlink"/>
            <w:rFonts w:ascii="Times New Roman" w:eastAsia="Times New Roman" w:hAnsi="Times New Roman" w:cs="Times New Roman"/>
            <w:lang w:val="en-US"/>
          </w:rPr>
          <w:t>https://www.trefis.com/stock/vlo/articles/614873/valero-energy-stock-climbs-12-on-an-8-day-winning-streak/2026-09-10</w:t>
        </w:r>
      </w:hyperlink>
    </w:p>
    <w:p w14:paraId="4424ED35" w14:textId="77777777" w:rsidR="00ED41D0" w:rsidRPr="002F53BC" w:rsidRDefault="00ED41D0" w:rsidP="00ED41D0">
      <w:pPr>
        <w:ind w:left="720" w:hanging="720"/>
        <w:rPr>
          <w:rFonts w:ascii="Times New Roman" w:eastAsia="Times New Roman" w:hAnsi="Times New Roman" w:cs="Times New Roman"/>
        </w:rPr>
      </w:pPr>
    </w:p>
    <w:p w14:paraId="57ACDA81" w14:textId="77777777" w:rsidR="00ED41D0" w:rsidRPr="002F53BC" w:rsidRDefault="00ED41D0" w:rsidP="00ED41D0">
      <w:pPr>
        <w:rPr>
          <w:rFonts w:ascii="Times New Roman" w:eastAsia="Times New Roman" w:hAnsi="Times New Roman" w:cs="Times New Roman"/>
        </w:rPr>
      </w:pPr>
    </w:p>
    <w:p w14:paraId="1D475D55" w14:textId="77777777" w:rsidR="00ED41D0" w:rsidRPr="002F53BC" w:rsidRDefault="00ED41D0" w:rsidP="00ED41D0">
      <w:pPr>
        <w:rPr>
          <w:rFonts w:ascii="Times New Roman" w:eastAsia="Times New Roman" w:hAnsi="Times New Roman" w:cs="Times New Roman"/>
        </w:rPr>
      </w:pPr>
    </w:p>
    <w:p w14:paraId="55D450E2" w14:textId="77777777" w:rsidR="00ED41D0" w:rsidRPr="002F53BC" w:rsidRDefault="00ED41D0" w:rsidP="00ED41D0">
      <w:pPr>
        <w:rPr>
          <w:rFonts w:ascii="Times New Roman" w:eastAsia="Times New Roman" w:hAnsi="Times New Roman" w:cs="Times New Roman"/>
        </w:rPr>
      </w:pPr>
    </w:p>
    <w:p w14:paraId="4D2FC11F" w14:textId="77777777" w:rsidR="00ED41D0" w:rsidRPr="002F53BC" w:rsidRDefault="00ED41D0" w:rsidP="00ED41D0">
      <w:pPr>
        <w:rPr>
          <w:rFonts w:ascii="Times New Roman" w:eastAsia="Times New Roman" w:hAnsi="Times New Roman" w:cs="Times New Roman"/>
        </w:rPr>
      </w:pPr>
    </w:p>
    <w:p w14:paraId="3C10A5FE" w14:textId="77777777" w:rsidR="00ED41D0" w:rsidRPr="002F53BC" w:rsidRDefault="00ED41D0" w:rsidP="00ED41D0">
      <w:pPr>
        <w:rPr>
          <w:rFonts w:ascii="Times New Roman" w:eastAsia="Times New Roman" w:hAnsi="Times New Roman" w:cs="Times New Roman"/>
        </w:rPr>
      </w:pPr>
    </w:p>
    <w:p w14:paraId="65BCD20B" w14:textId="77777777" w:rsidR="00ED41D0" w:rsidRPr="002F53BC" w:rsidRDefault="00ED41D0" w:rsidP="00ED41D0">
      <w:pPr>
        <w:rPr>
          <w:rFonts w:ascii="Times New Roman" w:eastAsia="Times New Roman" w:hAnsi="Times New Roman" w:cs="Times New Roman"/>
        </w:rPr>
      </w:pPr>
    </w:p>
    <w:p w14:paraId="17D2E8DC" w14:textId="77777777" w:rsidR="00ED41D0" w:rsidRPr="002F53BC" w:rsidRDefault="00ED41D0" w:rsidP="00ED41D0">
      <w:pPr>
        <w:rPr>
          <w:rFonts w:ascii="Times New Roman" w:eastAsia="Times New Roman" w:hAnsi="Times New Roman" w:cs="Times New Roman"/>
        </w:rPr>
      </w:pPr>
    </w:p>
    <w:p w14:paraId="113BF2E0" w14:textId="77777777" w:rsidR="00ED41D0" w:rsidRPr="002F53BC" w:rsidRDefault="00ED41D0" w:rsidP="00ED41D0">
      <w:pPr>
        <w:rPr>
          <w:rFonts w:ascii="Times New Roman" w:eastAsia="Times New Roman" w:hAnsi="Times New Roman" w:cs="Times New Roman"/>
        </w:rPr>
      </w:pPr>
    </w:p>
    <w:p w14:paraId="43E142A2" w14:textId="77777777" w:rsidR="00ED41D0" w:rsidRPr="002F53BC" w:rsidRDefault="00ED41D0" w:rsidP="00ED41D0">
      <w:pPr>
        <w:rPr>
          <w:rFonts w:ascii="Times New Roman" w:eastAsia="Times New Roman" w:hAnsi="Times New Roman" w:cs="Times New Roman"/>
        </w:rPr>
      </w:pPr>
    </w:p>
    <w:p w14:paraId="33C610BA" w14:textId="77777777" w:rsidR="00ED41D0" w:rsidRPr="002F53BC" w:rsidRDefault="00ED41D0" w:rsidP="00ED41D0">
      <w:pPr>
        <w:rPr>
          <w:rFonts w:ascii="Times New Roman" w:eastAsia="Times New Roman" w:hAnsi="Times New Roman" w:cs="Times New Roman"/>
        </w:rPr>
      </w:pPr>
    </w:p>
    <w:p w14:paraId="507C7B2C" w14:textId="77777777" w:rsidR="00ED41D0" w:rsidRPr="002F53BC" w:rsidRDefault="00ED41D0" w:rsidP="00ED41D0">
      <w:pPr>
        <w:rPr>
          <w:rFonts w:ascii="Times New Roman" w:eastAsia="Times New Roman" w:hAnsi="Times New Roman" w:cs="Times New Roman"/>
        </w:rPr>
      </w:pPr>
    </w:p>
    <w:p w14:paraId="528E2B63" w14:textId="77777777" w:rsidR="00ED41D0" w:rsidRPr="002F53BC" w:rsidRDefault="00ED41D0" w:rsidP="00ED41D0">
      <w:pPr>
        <w:rPr>
          <w:rFonts w:ascii="Times New Roman" w:eastAsia="Times New Roman" w:hAnsi="Times New Roman" w:cs="Times New Roman"/>
        </w:rPr>
      </w:pPr>
    </w:p>
    <w:p w14:paraId="33235E17" w14:textId="77777777" w:rsidR="00ED41D0" w:rsidRPr="002F53BC" w:rsidRDefault="00ED41D0" w:rsidP="00ED41D0">
      <w:pPr>
        <w:rPr>
          <w:rFonts w:ascii="Times New Roman" w:eastAsia="Times New Roman" w:hAnsi="Times New Roman" w:cs="Times New Roman"/>
        </w:rPr>
      </w:pPr>
    </w:p>
    <w:p w14:paraId="6EDD6C1F" w14:textId="77777777" w:rsidR="00ED41D0" w:rsidRPr="002F53BC" w:rsidRDefault="00ED41D0" w:rsidP="00ED41D0">
      <w:pPr>
        <w:rPr>
          <w:rFonts w:ascii="Times New Roman" w:eastAsia="Times New Roman" w:hAnsi="Times New Roman" w:cs="Times New Roman"/>
        </w:rPr>
      </w:pPr>
    </w:p>
    <w:p w14:paraId="3F89E450" w14:textId="77777777" w:rsidR="00ED41D0" w:rsidRPr="002F53BC" w:rsidRDefault="00ED41D0" w:rsidP="00ED41D0">
      <w:pPr>
        <w:rPr>
          <w:rFonts w:ascii="Times New Roman" w:eastAsia="Times New Roman" w:hAnsi="Times New Roman" w:cs="Times New Roman"/>
        </w:rPr>
      </w:pPr>
    </w:p>
    <w:p w14:paraId="28089F11" w14:textId="77777777" w:rsidR="00ED41D0" w:rsidRPr="002F53BC" w:rsidRDefault="00ED41D0" w:rsidP="00ED41D0">
      <w:pPr>
        <w:rPr>
          <w:rFonts w:ascii="Times New Roman" w:eastAsia="Times New Roman" w:hAnsi="Times New Roman" w:cs="Times New Roman"/>
        </w:rPr>
      </w:pPr>
    </w:p>
    <w:p w14:paraId="6DCB0605" w14:textId="77777777" w:rsidR="00ED41D0" w:rsidRPr="002F53BC" w:rsidRDefault="00ED41D0" w:rsidP="00ED41D0">
      <w:pPr>
        <w:rPr>
          <w:rFonts w:ascii="Times New Roman" w:eastAsia="Times New Roman" w:hAnsi="Times New Roman" w:cs="Times New Roman"/>
        </w:rPr>
      </w:pPr>
    </w:p>
    <w:p w14:paraId="20B2EC86" w14:textId="77777777" w:rsidR="00ED41D0" w:rsidRPr="002F53BC" w:rsidRDefault="00ED41D0" w:rsidP="00ED41D0">
      <w:pPr>
        <w:rPr>
          <w:rFonts w:ascii="Times New Roman" w:eastAsia="Times New Roman" w:hAnsi="Times New Roman" w:cs="Times New Roman"/>
        </w:rPr>
      </w:pPr>
    </w:p>
    <w:p w14:paraId="0B288A27" w14:textId="77777777" w:rsidR="00ED41D0" w:rsidRPr="002F53BC" w:rsidRDefault="00ED41D0" w:rsidP="00ED41D0">
      <w:pPr>
        <w:rPr>
          <w:rFonts w:ascii="Times New Roman" w:eastAsia="Times New Roman" w:hAnsi="Times New Roman" w:cs="Times New Roman"/>
        </w:rPr>
      </w:pPr>
    </w:p>
    <w:p w14:paraId="2D48B9DC" w14:textId="77777777" w:rsidR="00ED41D0" w:rsidRPr="002F53BC" w:rsidRDefault="00ED41D0" w:rsidP="00ED41D0">
      <w:pPr>
        <w:rPr>
          <w:rFonts w:ascii="Times New Roman" w:eastAsia="Times New Roman" w:hAnsi="Times New Roman" w:cs="Times New Roman"/>
        </w:rPr>
      </w:pPr>
    </w:p>
    <w:p w14:paraId="5A0EEF88" w14:textId="77777777" w:rsidR="00ED41D0" w:rsidRPr="002F53BC" w:rsidRDefault="00ED41D0" w:rsidP="00ED41D0">
      <w:pPr>
        <w:rPr>
          <w:rFonts w:ascii="Times New Roman" w:eastAsia="Times New Roman" w:hAnsi="Times New Roman" w:cs="Times New Roman"/>
        </w:rPr>
      </w:pPr>
    </w:p>
    <w:p w14:paraId="0A08209B" w14:textId="77777777" w:rsidR="00ED41D0" w:rsidRPr="002F53BC" w:rsidRDefault="00ED41D0" w:rsidP="00ED41D0">
      <w:pPr>
        <w:rPr>
          <w:rFonts w:ascii="Times New Roman" w:eastAsia="Times New Roman" w:hAnsi="Times New Roman" w:cs="Times New Roman"/>
        </w:rPr>
      </w:pPr>
    </w:p>
    <w:p w14:paraId="74D798DF" w14:textId="77777777" w:rsidR="00ED41D0" w:rsidRPr="002F53BC" w:rsidRDefault="00ED41D0" w:rsidP="00ED41D0">
      <w:pPr>
        <w:rPr>
          <w:rFonts w:ascii="Times New Roman" w:eastAsia="Times New Roman" w:hAnsi="Times New Roman" w:cs="Times New Roman"/>
        </w:rPr>
      </w:pPr>
    </w:p>
    <w:p w14:paraId="0E10968E" w14:textId="77777777" w:rsidR="00ED41D0" w:rsidRPr="002F53BC" w:rsidRDefault="00ED41D0" w:rsidP="00ED41D0">
      <w:pPr>
        <w:rPr>
          <w:rFonts w:ascii="Times New Roman" w:eastAsia="Times New Roman" w:hAnsi="Times New Roman" w:cs="Times New Roman"/>
        </w:rPr>
      </w:pPr>
    </w:p>
    <w:p w14:paraId="2D6C7CA9" w14:textId="77777777" w:rsidR="00ED41D0" w:rsidRPr="002F53BC" w:rsidRDefault="00ED41D0" w:rsidP="00ED41D0">
      <w:pPr>
        <w:rPr>
          <w:rFonts w:ascii="Times New Roman" w:eastAsia="Times New Roman" w:hAnsi="Times New Roman" w:cs="Times New Roman"/>
        </w:rPr>
      </w:pPr>
    </w:p>
    <w:p w14:paraId="35F72647" w14:textId="77777777" w:rsidR="00ED41D0" w:rsidRPr="002F53BC" w:rsidRDefault="00ED41D0" w:rsidP="00ED41D0">
      <w:pPr>
        <w:rPr>
          <w:rFonts w:ascii="Times New Roman" w:eastAsia="Times New Roman" w:hAnsi="Times New Roman" w:cs="Times New Roman"/>
        </w:rPr>
      </w:pPr>
    </w:p>
    <w:p w14:paraId="65844530" w14:textId="77777777" w:rsidR="00ED41D0" w:rsidRPr="002F53BC" w:rsidRDefault="00ED41D0" w:rsidP="00ED41D0">
      <w:pPr>
        <w:spacing w:after="160" w:line="278" w:lineRule="auto"/>
        <w:rPr>
          <w:rFonts w:ascii="Times New Roman" w:eastAsia="Times New Roman" w:hAnsi="Times New Roman" w:cs="Times New Roman"/>
        </w:rPr>
      </w:pPr>
    </w:p>
    <w:p w14:paraId="1E5F22A6" w14:textId="77777777" w:rsidR="00ED41D0" w:rsidRPr="002F53BC" w:rsidRDefault="00ED41D0" w:rsidP="00ED41D0">
      <w:pPr>
        <w:spacing w:after="160" w:line="278" w:lineRule="auto"/>
        <w:rPr>
          <w:rFonts w:ascii="Times New Roman" w:eastAsia="Times New Roman" w:hAnsi="Times New Roman" w:cs="Times New Roman"/>
        </w:rPr>
      </w:pPr>
    </w:p>
    <w:p w14:paraId="42C0F679" w14:textId="77777777" w:rsidR="00ED41D0" w:rsidRDefault="00ED41D0" w:rsidP="00ED41D0">
      <w:pPr>
        <w:rPr>
          <w:rFonts w:ascii="Times New Roman" w:eastAsia="Times New Roman" w:hAnsi="Times New Roman" w:cs="Times New Roman"/>
        </w:rPr>
      </w:pPr>
    </w:p>
    <w:p w14:paraId="7FBC5453" w14:textId="77777777" w:rsidR="00ED41D0" w:rsidRPr="002F53BC" w:rsidRDefault="00ED41D0" w:rsidP="00ED41D0">
      <w:pPr>
        <w:rPr>
          <w:rFonts w:ascii="Times New Roman" w:eastAsia="Times New Roman" w:hAnsi="Times New Roman" w:cs="Times New Roman"/>
        </w:rPr>
      </w:pPr>
    </w:p>
    <w:p w14:paraId="76FBE238" w14:textId="77777777" w:rsidR="00ED41D0" w:rsidRPr="002F53BC" w:rsidRDefault="00ED41D0" w:rsidP="00ED41D0">
      <w:pPr>
        <w:jc w:val="center"/>
        <w:rPr>
          <w:rFonts w:ascii="Times New Roman" w:eastAsia="Times New Roman" w:hAnsi="Times New Roman" w:cs="Times New Roman"/>
          <w:b/>
          <w:bCs/>
        </w:rPr>
      </w:pPr>
      <w:r w:rsidRPr="002F53BC">
        <w:rPr>
          <w:rFonts w:ascii="Times New Roman" w:eastAsia="Times New Roman" w:hAnsi="Times New Roman" w:cs="Times New Roman"/>
          <w:b/>
          <w:bCs/>
        </w:rPr>
        <w:lastRenderedPageBreak/>
        <w:t>Composition of Husson Stock Index (HSI)</w:t>
      </w:r>
    </w:p>
    <w:tbl>
      <w:tblPr>
        <w:tblW w:w="9360" w:type="dxa"/>
        <w:tblInd w:w="-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ED41D0" w:rsidRPr="002F53BC" w14:paraId="562BE98A" w14:textId="77777777" w:rsidTr="005375B2">
        <w:tc>
          <w:tcPr>
            <w:tcW w:w="2340" w:type="dxa"/>
            <w:tcMar>
              <w:top w:w="100" w:type="dxa"/>
              <w:left w:w="100" w:type="dxa"/>
              <w:bottom w:w="100" w:type="dxa"/>
              <w:right w:w="100" w:type="dxa"/>
            </w:tcMar>
          </w:tcPr>
          <w:p w14:paraId="3822781A" w14:textId="77777777" w:rsidR="00ED41D0" w:rsidRPr="002F53BC" w:rsidRDefault="00ED41D0" w:rsidP="005375B2">
            <w:pPr>
              <w:widowControl w:val="0"/>
              <w:spacing w:line="240" w:lineRule="auto"/>
              <w:rPr>
                <w:rFonts w:ascii="Times New Roman" w:eastAsia="Times New Roman" w:hAnsi="Times New Roman" w:cs="Times New Roman"/>
                <w:b/>
                <w:bCs/>
              </w:rPr>
            </w:pPr>
            <w:r w:rsidRPr="002F53BC">
              <w:rPr>
                <w:rFonts w:ascii="Times New Roman" w:eastAsia="Times New Roman" w:hAnsi="Times New Roman" w:cs="Times New Roman"/>
                <w:b/>
                <w:bCs/>
              </w:rPr>
              <w:t>Ticker Symbol &amp; Exchange:</w:t>
            </w:r>
          </w:p>
        </w:tc>
        <w:tc>
          <w:tcPr>
            <w:tcW w:w="2340" w:type="dxa"/>
            <w:tcMar>
              <w:top w:w="100" w:type="dxa"/>
              <w:left w:w="100" w:type="dxa"/>
              <w:bottom w:w="100" w:type="dxa"/>
              <w:right w:w="100" w:type="dxa"/>
            </w:tcMar>
          </w:tcPr>
          <w:p w14:paraId="1D665DBB" w14:textId="77777777" w:rsidR="00ED41D0" w:rsidRPr="002F53BC" w:rsidRDefault="00ED41D0" w:rsidP="005375B2">
            <w:pPr>
              <w:widowControl w:val="0"/>
              <w:spacing w:line="240" w:lineRule="auto"/>
              <w:rPr>
                <w:rFonts w:ascii="Times New Roman" w:eastAsia="Times New Roman" w:hAnsi="Times New Roman" w:cs="Times New Roman"/>
                <w:b/>
                <w:bCs/>
              </w:rPr>
            </w:pPr>
            <w:r w:rsidRPr="002F53BC">
              <w:rPr>
                <w:rFonts w:ascii="Times New Roman" w:eastAsia="Times New Roman" w:hAnsi="Times New Roman" w:cs="Times New Roman"/>
                <w:b/>
                <w:bCs/>
              </w:rPr>
              <w:t>Stock:</w:t>
            </w:r>
          </w:p>
        </w:tc>
        <w:tc>
          <w:tcPr>
            <w:tcW w:w="2340" w:type="dxa"/>
            <w:tcMar>
              <w:top w:w="100" w:type="dxa"/>
              <w:left w:w="100" w:type="dxa"/>
              <w:bottom w:w="100" w:type="dxa"/>
              <w:right w:w="100" w:type="dxa"/>
            </w:tcMar>
          </w:tcPr>
          <w:p w14:paraId="7B269211" w14:textId="77777777" w:rsidR="00ED41D0" w:rsidRPr="002F53BC" w:rsidRDefault="00ED41D0" w:rsidP="005375B2">
            <w:pPr>
              <w:widowControl w:val="0"/>
              <w:spacing w:line="240" w:lineRule="auto"/>
              <w:rPr>
                <w:rFonts w:ascii="Times New Roman" w:eastAsia="Times New Roman" w:hAnsi="Times New Roman" w:cs="Times New Roman"/>
                <w:b/>
                <w:bCs/>
              </w:rPr>
            </w:pPr>
            <w:r w:rsidRPr="002F53BC">
              <w:rPr>
                <w:rFonts w:ascii="Times New Roman" w:eastAsia="Times New Roman" w:hAnsi="Times New Roman" w:cs="Times New Roman"/>
                <w:b/>
                <w:bCs/>
              </w:rPr>
              <w:t>Maine Affiliation:</w:t>
            </w:r>
          </w:p>
        </w:tc>
        <w:tc>
          <w:tcPr>
            <w:tcW w:w="2340" w:type="dxa"/>
            <w:tcMar>
              <w:top w:w="100" w:type="dxa"/>
              <w:left w:w="100" w:type="dxa"/>
              <w:bottom w:w="100" w:type="dxa"/>
              <w:right w:w="100" w:type="dxa"/>
            </w:tcMar>
          </w:tcPr>
          <w:p w14:paraId="11BE8CCA" w14:textId="77777777" w:rsidR="00ED41D0" w:rsidRPr="002F53BC" w:rsidRDefault="00ED41D0" w:rsidP="005375B2">
            <w:pPr>
              <w:widowControl w:val="0"/>
              <w:spacing w:line="240" w:lineRule="auto"/>
              <w:rPr>
                <w:rFonts w:ascii="Times New Roman" w:eastAsia="Times New Roman" w:hAnsi="Times New Roman" w:cs="Times New Roman"/>
                <w:b/>
                <w:bCs/>
              </w:rPr>
            </w:pPr>
            <w:r w:rsidRPr="002F53BC">
              <w:rPr>
                <w:rFonts w:ascii="Times New Roman" w:eastAsia="Times New Roman" w:hAnsi="Times New Roman" w:cs="Times New Roman"/>
                <w:b/>
                <w:bCs/>
              </w:rPr>
              <w:t>Sector:</w:t>
            </w:r>
          </w:p>
        </w:tc>
      </w:tr>
      <w:tr w:rsidR="00ED41D0" w:rsidRPr="002F53BC" w14:paraId="5A5020BE" w14:textId="77777777" w:rsidTr="005375B2">
        <w:tc>
          <w:tcPr>
            <w:tcW w:w="2340" w:type="dxa"/>
            <w:tcMar>
              <w:top w:w="100" w:type="dxa"/>
              <w:left w:w="100" w:type="dxa"/>
              <w:bottom w:w="100" w:type="dxa"/>
              <w:right w:w="100" w:type="dxa"/>
            </w:tcMar>
          </w:tcPr>
          <w:p w14:paraId="6DAB29E6"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BAC: NYSE</w:t>
            </w:r>
          </w:p>
        </w:tc>
        <w:tc>
          <w:tcPr>
            <w:tcW w:w="2340" w:type="dxa"/>
            <w:tcMar>
              <w:top w:w="100" w:type="dxa"/>
              <w:left w:w="100" w:type="dxa"/>
              <w:bottom w:w="100" w:type="dxa"/>
              <w:right w:w="100" w:type="dxa"/>
            </w:tcMar>
          </w:tcPr>
          <w:p w14:paraId="5A73436E"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Bank of America Corp</w:t>
            </w:r>
          </w:p>
        </w:tc>
        <w:tc>
          <w:tcPr>
            <w:tcW w:w="2340" w:type="dxa"/>
            <w:tcMar>
              <w:top w:w="100" w:type="dxa"/>
              <w:left w:w="100" w:type="dxa"/>
              <w:bottom w:w="100" w:type="dxa"/>
              <w:right w:w="100" w:type="dxa"/>
            </w:tcMar>
          </w:tcPr>
          <w:p w14:paraId="12EEBBF0"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6BACAC05"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ED41D0" w:rsidRPr="002F53BC" w14:paraId="0B56E710" w14:textId="77777777" w:rsidTr="005375B2">
        <w:tc>
          <w:tcPr>
            <w:tcW w:w="2340" w:type="dxa"/>
            <w:tcMar>
              <w:top w:w="100" w:type="dxa"/>
              <w:left w:w="100" w:type="dxa"/>
              <w:bottom w:w="100" w:type="dxa"/>
              <w:right w:w="100" w:type="dxa"/>
            </w:tcMar>
          </w:tcPr>
          <w:p w14:paraId="4F050CA3"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BHB: NYSE</w:t>
            </w:r>
          </w:p>
        </w:tc>
        <w:tc>
          <w:tcPr>
            <w:tcW w:w="2340" w:type="dxa"/>
            <w:tcMar>
              <w:top w:w="100" w:type="dxa"/>
              <w:left w:w="100" w:type="dxa"/>
              <w:bottom w:w="100" w:type="dxa"/>
              <w:right w:w="100" w:type="dxa"/>
            </w:tcMar>
          </w:tcPr>
          <w:p w14:paraId="0FC2AD79"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 xml:space="preserve">Bar Harbor </w:t>
            </w:r>
            <w:proofErr w:type="spellStart"/>
            <w:r w:rsidRPr="002F53BC">
              <w:rPr>
                <w:rFonts w:ascii="Times New Roman" w:eastAsia="Times New Roman" w:hAnsi="Times New Roman" w:cs="Times New Roman"/>
              </w:rPr>
              <w:t>Bankshares</w:t>
            </w:r>
            <w:proofErr w:type="spellEnd"/>
          </w:p>
        </w:tc>
        <w:tc>
          <w:tcPr>
            <w:tcW w:w="2340" w:type="dxa"/>
            <w:tcMar>
              <w:top w:w="100" w:type="dxa"/>
              <w:left w:w="100" w:type="dxa"/>
              <w:bottom w:w="100" w:type="dxa"/>
              <w:right w:w="100" w:type="dxa"/>
            </w:tcMar>
          </w:tcPr>
          <w:p w14:paraId="3A85AFC8"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35B567AB"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ED41D0" w:rsidRPr="002F53BC" w14:paraId="2D55E621" w14:textId="77777777" w:rsidTr="005375B2">
        <w:tc>
          <w:tcPr>
            <w:tcW w:w="2340" w:type="dxa"/>
            <w:tcMar>
              <w:top w:w="100" w:type="dxa"/>
              <w:left w:w="100" w:type="dxa"/>
              <w:bottom w:w="100" w:type="dxa"/>
              <w:right w:w="100" w:type="dxa"/>
            </w:tcMar>
          </w:tcPr>
          <w:p w14:paraId="1FEAFF6C"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CAC: NASDAQ</w:t>
            </w:r>
          </w:p>
        </w:tc>
        <w:tc>
          <w:tcPr>
            <w:tcW w:w="2340" w:type="dxa"/>
            <w:tcMar>
              <w:top w:w="100" w:type="dxa"/>
              <w:left w:w="100" w:type="dxa"/>
              <w:bottom w:w="100" w:type="dxa"/>
              <w:right w:w="100" w:type="dxa"/>
            </w:tcMar>
          </w:tcPr>
          <w:p w14:paraId="155584F7"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Camden National Corporation</w:t>
            </w:r>
          </w:p>
        </w:tc>
        <w:tc>
          <w:tcPr>
            <w:tcW w:w="2340" w:type="dxa"/>
            <w:tcMar>
              <w:top w:w="100" w:type="dxa"/>
              <w:left w:w="100" w:type="dxa"/>
              <w:bottom w:w="100" w:type="dxa"/>
              <w:right w:w="100" w:type="dxa"/>
            </w:tcMar>
          </w:tcPr>
          <w:p w14:paraId="0CDAAA16"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3BBBC3DE"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ED41D0" w:rsidRPr="002F53BC" w14:paraId="144A720F" w14:textId="77777777" w:rsidTr="005375B2">
        <w:tc>
          <w:tcPr>
            <w:tcW w:w="2340" w:type="dxa"/>
            <w:tcMar>
              <w:top w:w="100" w:type="dxa"/>
              <w:left w:w="100" w:type="dxa"/>
              <w:bottom w:w="100" w:type="dxa"/>
              <w:right w:w="100" w:type="dxa"/>
            </w:tcMar>
          </w:tcPr>
          <w:p w14:paraId="536A4898"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CHRT: NASDAQ</w:t>
            </w:r>
          </w:p>
        </w:tc>
        <w:tc>
          <w:tcPr>
            <w:tcW w:w="2340" w:type="dxa"/>
            <w:tcMar>
              <w:top w:w="100" w:type="dxa"/>
              <w:left w:w="100" w:type="dxa"/>
              <w:bottom w:w="100" w:type="dxa"/>
              <w:right w:w="100" w:type="dxa"/>
            </w:tcMar>
          </w:tcPr>
          <w:p w14:paraId="2F6FC96F"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Charter Communications, Inc.</w:t>
            </w:r>
          </w:p>
        </w:tc>
        <w:tc>
          <w:tcPr>
            <w:tcW w:w="2340" w:type="dxa"/>
            <w:tcMar>
              <w:top w:w="100" w:type="dxa"/>
              <w:left w:w="100" w:type="dxa"/>
              <w:bottom w:w="100" w:type="dxa"/>
              <w:right w:w="100" w:type="dxa"/>
            </w:tcMar>
          </w:tcPr>
          <w:p w14:paraId="6E8F7579"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109A8E1C"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Communication Services</w:t>
            </w:r>
          </w:p>
        </w:tc>
      </w:tr>
      <w:tr w:rsidR="00ED41D0" w:rsidRPr="002F53BC" w14:paraId="56D0E1BC" w14:textId="77777777" w:rsidTr="005375B2">
        <w:tc>
          <w:tcPr>
            <w:tcW w:w="2340" w:type="dxa"/>
            <w:tcMar>
              <w:top w:w="100" w:type="dxa"/>
              <w:left w:w="100" w:type="dxa"/>
              <w:bottom w:w="100" w:type="dxa"/>
              <w:right w:w="100" w:type="dxa"/>
            </w:tcMar>
          </w:tcPr>
          <w:p w14:paraId="07067189"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CL: NYSE</w:t>
            </w:r>
          </w:p>
        </w:tc>
        <w:tc>
          <w:tcPr>
            <w:tcW w:w="2340" w:type="dxa"/>
            <w:tcMar>
              <w:top w:w="100" w:type="dxa"/>
              <w:left w:w="100" w:type="dxa"/>
              <w:bottom w:w="100" w:type="dxa"/>
              <w:right w:w="100" w:type="dxa"/>
            </w:tcMar>
          </w:tcPr>
          <w:p w14:paraId="1D3E3E35"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Colgate-Palmolive Company</w:t>
            </w:r>
          </w:p>
        </w:tc>
        <w:tc>
          <w:tcPr>
            <w:tcW w:w="2340" w:type="dxa"/>
            <w:tcMar>
              <w:top w:w="100" w:type="dxa"/>
              <w:left w:w="100" w:type="dxa"/>
              <w:bottom w:w="100" w:type="dxa"/>
              <w:right w:w="100" w:type="dxa"/>
            </w:tcMar>
          </w:tcPr>
          <w:p w14:paraId="77E53BE3"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30375BFE"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Staples</w:t>
            </w:r>
          </w:p>
        </w:tc>
      </w:tr>
      <w:tr w:rsidR="00ED41D0" w:rsidRPr="002F53BC" w14:paraId="25D8561F" w14:textId="77777777" w:rsidTr="005375B2">
        <w:tc>
          <w:tcPr>
            <w:tcW w:w="2340" w:type="dxa"/>
            <w:tcMar>
              <w:top w:w="100" w:type="dxa"/>
              <w:left w:w="100" w:type="dxa"/>
              <w:bottom w:w="100" w:type="dxa"/>
              <w:right w:w="100" w:type="dxa"/>
            </w:tcMar>
          </w:tcPr>
          <w:p w14:paraId="2670C78F"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DRI: NYSE</w:t>
            </w:r>
          </w:p>
        </w:tc>
        <w:tc>
          <w:tcPr>
            <w:tcW w:w="2340" w:type="dxa"/>
            <w:tcMar>
              <w:top w:w="100" w:type="dxa"/>
              <w:left w:w="100" w:type="dxa"/>
              <w:bottom w:w="100" w:type="dxa"/>
              <w:right w:w="100" w:type="dxa"/>
            </w:tcMar>
          </w:tcPr>
          <w:p w14:paraId="4FA47FC1"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Darden Restaurants, Inc.</w:t>
            </w:r>
          </w:p>
        </w:tc>
        <w:tc>
          <w:tcPr>
            <w:tcW w:w="2340" w:type="dxa"/>
            <w:tcMar>
              <w:top w:w="100" w:type="dxa"/>
              <w:left w:w="100" w:type="dxa"/>
              <w:bottom w:w="100" w:type="dxa"/>
              <w:right w:w="100" w:type="dxa"/>
            </w:tcMar>
          </w:tcPr>
          <w:p w14:paraId="74C601E7"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6B43DF3F"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ED41D0" w:rsidRPr="002F53BC" w14:paraId="5E0772DF" w14:textId="77777777" w:rsidTr="005375B2">
        <w:tc>
          <w:tcPr>
            <w:tcW w:w="2340" w:type="dxa"/>
            <w:tcMar>
              <w:top w:w="100" w:type="dxa"/>
              <w:left w:w="100" w:type="dxa"/>
              <w:bottom w:w="100" w:type="dxa"/>
              <w:right w:w="100" w:type="dxa"/>
            </w:tcMar>
          </w:tcPr>
          <w:p w14:paraId="776C9BD4"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FNLC: NASDAQ</w:t>
            </w:r>
          </w:p>
        </w:tc>
        <w:tc>
          <w:tcPr>
            <w:tcW w:w="2340" w:type="dxa"/>
            <w:tcMar>
              <w:top w:w="100" w:type="dxa"/>
              <w:left w:w="100" w:type="dxa"/>
              <w:bottom w:w="100" w:type="dxa"/>
              <w:right w:w="100" w:type="dxa"/>
            </w:tcMar>
          </w:tcPr>
          <w:p w14:paraId="1CA3198A"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The First Bancorp, Inc.</w:t>
            </w:r>
          </w:p>
        </w:tc>
        <w:tc>
          <w:tcPr>
            <w:tcW w:w="2340" w:type="dxa"/>
            <w:tcMar>
              <w:top w:w="100" w:type="dxa"/>
              <w:left w:w="100" w:type="dxa"/>
              <w:bottom w:w="100" w:type="dxa"/>
              <w:right w:w="100" w:type="dxa"/>
            </w:tcMar>
          </w:tcPr>
          <w:p w14:paraId="381790FC"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7B21E2D1"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ED41D0" w:rsidRPr="002F53BC" w14:paraId="37A5A881" w14:textId="77777777" w:rsidTr="005375B2">
        <w:tc>
          <w:tcPr>
            <w:tcW w:w="2340" w:type="dxa"/>
            <w:tcMar>
              <w:top w:w="100" w:type="dxa"/>
              <w:left w:w="100" w:type="dxa"/>
              <w:bottom w:w="100" w:type="dxa"/>
              <w:right w:w="100" w:type="dxa"/>
            </w:tcMar>
          </w:tcPr>
          <w:p w14:paraId="5ECEB418"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GD: NYSE</w:t>
            </w:r>
          </w:p>
        </w:tc>
        <w:tc>
          <w:tcPr>
            <w:tcW w:w="2340" w:type="dxa"/>
            <w:tcMar>
              <w:top w:w="100" w:type="dxa"/>
              <w:left w:w="100" w:type="dxa"/>
              <w:bottom w:w="100" w:type="dxa"/>
              <w:right w:w="100" w:type="dxa"/>
            </w:tcMar>
          </w:tcPr>
          <w:p w14:paraId="3ADFE9D1"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General Dynamics Corporation</w:t>
            </w:r>
          </w:p>
        </w:tc>
        <w:tc>
          <w:tcPr>
            <w:tcW w:w="2340" w:type="dxa"/>
            <w:tcMar>
              <w:top w:w="100" w:type="dxa"/>
              <w:left w:w="100" w:type="dxa"/>
              <w:bottom w:w="100" w:type="dxa"/>
              <w:right w:w="100" w:type="dxa"/>
            </w:tcMar>
          </w:tcPr>
          <w:p w14:paraId="3B19BC63"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655CE40D"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ED41D0" w:rsidRPr="002F53BC" w14:paraId="2FD30E67" w14:textId="77777777" w:rsidTr="005375B2">
        <w:tc>
          <w:tcPr>
            <w:tcW w:w="2340" w:type="dxa"/>
            <w:tcMar>
              <w:top w:w="100" w:type="dxa"/>
              <w:left w:w="100" w:type="dxa"/>
              <w:bottom w:w="100" w:type="dxa"/>
              <w:right w:w="100" w:type="dxa"/>
            </w:tcMar>
          </w:tcPr>
          <w:p w14:paraId="693E3846"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HLT: NYSE</w:t>
            </w:r>
          </w:p>
        </w:tc>
        <w:tc>
          <w:tcPr>
            <w:tcW w:w="2340" w:type="dxa"/>
            <w:tcMar>
              <w:top w:w="100" w:type="dxa"/>
              <w:left w:w="100" w:type="dxa"/>
              <w:bottom w:w="100" w:type="dxa"/>
              <w:right w:w="100" w:type="dxa"/>
            </w:tcMar>
          </w:tcPr>
          <w:p w14:paraId="1301C65A"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Hilton Worldwide Holding, Inc.</w:t>
            </w:r>
          </w:p>
        </w:tc>
        <w:tc>
          <w:tcPr>
            <w:tcW w:w="2340" w:type="dxa"/>
            <w:tcMar>
              <w:top w:w="100" w:type="dxa"/>
              <w:left w:w="100" w:type="dxa"/>
              <w:bottom w:w="100" w:type="dxa"/>
              <w:right w:w="100" w:type="dxa"/>
            </w:tcMar>
          </w:tcPr>
          <w:p w14:paraId="462313E8"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4ABF8160"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ED41D0" w:rsidRPr="002F53BC" w14:paraId="67C0906B" w14:textId="77777777" w:rsidTr="005375B2">
        <w:tc>
          <w:tcPr>
            <w:tcW w:w="2340" w:type="dxa"/>
            <w:tcMar>
              <w:top w:w="100" w:type="dxa"/>
              <w:left w:w="100" w:type="dxa"/>
              <w:bottom w:w="100" w:type="dxa"/>
              <w:right w:w="100" w:type="dxa"/>
            </w:tcMar>
          </w:tcPr>
          <w:p w14:paraId="4EDC46AE"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HD: NYSE</w:t>
            </w:r>
          </w:p>
        </w:tc>
        <w:tc>
          <w:tcPr>
            <w:tcW w:w="2340" w:type="dxa"/>
            <w:tcMar>
              <w:top w:w="100" w:type="dxa"/>
              <w:left w:w="100" w:type="dxa"/>
              <w:bottom w:w="100" w:type="dxa"/>
              <w:right w:w="100" w:type="dxa"/>
            </w:tcMar>
          </w:tcPr>
          <w:p w14:paraId="73906311"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The Home Depot, Inc.</w:t>
            </w:r>
          </w:p>
        </w:tc>
        <w:tc>
          <w:tcPr>
            <w:tcW w:w="2340" w:type="dxa"/>
            <w:tcMar>
              <w:top w:w="100" w:type="dxa"/>
              <w:left w:w="100" w:type="dxa"/>
              <w:bottom w:w="100" w:type="dxa"/>
              <w:right w:w="100" w:type="dxa"/>
            </w:tcMar>
          </w:tcPr>
          <w:p w14:paraId="05356590"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6C85E574"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ED41D0" w:rsidRPr="002F53BC" w14:paraId="4D14CC1F" w14:textId="77777777" w:rsidTr="005375B2">
        <w:tc>
          <w:tcPr>
            <w:tcW w:w="2340" w:type="dxa"/>
            <w:tcMar>
              <w:top w:w="100" w:type="dxa"/>
              <w:left w:w="100" w:type="dxa"/>
              <w:bottom w:w="100" w:type="dxa"/>
              <w:right w:w="100" w:type="dxa"/>
            </w:tcMar>
          </w:tcPr>
          <w:p w14:paraId="61714DAF"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ICC: NASDAQ</w:t>
            </w:r>
          </w:p>
        </w:tc>
        <w:tc>
          <w:tcPr>
            <w:tcW w:w="2340" w:type="dxa"/>
            <w:tcMar>
              <w:top w:w="100" w:type="dxa"/>
              <w:left w:w="100" w:type="dxa"/>
              <w:bottom w:w="100" w:type="dxa"/>
              <w:right w:w="100" w:type="dxa"/>
            </w:tcMar>
          </w:tcPr>
          <w:p w14:paraId="52BE133B" w14:textId="77777777" w:rsidR="00ED41D0" w:rsidRPr="002F53BC" w:rsidRDefault="00ED41D0" w:rsidP="005375B2">
            <w:pPr>
              <w:widowControl w:val="0"/>
              <w:spacing w:line="240" w:lineRule="auto"/>
              <w:rPr>
                <w:rFonts w:ascii="Times New Roman" w:eastAsia="Times New Roman" w:hAnsi="Times New Roman" w:cs="Times New Roman"/>
              </w:rPr>
            </w:pPr>
            <w:proofErr w:type="spellStart"/>
            <w:r w:rsidRPr="002F53BC">
              <w:rPr>
                <w:rFonts w:ascii="Times New Roman" w:eastAsia="Times New Roman" w:hAnsi="Times New Roman" w:cs="Times New Roman"/>
              </w:rPr>
              <w:t>ImmuCell</w:t>
            </w:r>
            <w:proofErr w:type="spellEnd"/>
            <w:r w:rsidRPr="002F53BC">
              <w:rPr>
                <w:rFonts w:ascii="Times New Roman" w:eastAsia="Times New Roman" w:hAnsi="Times New Roman" w:cs="Times New Roman"/>
              </w:rPr>
              <w:t xml:space="preserve"> Corporation</w:t>
            </w:r>
          </w:p>
        </w:tc>
        <w:tc>
          <w:tcPr>
            <w:tcW w:w="2340" w:type="dxa"/>
            <w:tcMar>
              <w:top w:w="100" w:type="dxa"/>
              <w:left w:w="100" w:type="dxa"/>
              <w:bottom w:w="100" w:type="dxa"/>
              <w:right w:w="100" w:type="dxa"/>
            </w:tcMar>
          </w:tcPr>
          <w:p w14:paraId="60F4A469"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24543227"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Health Care</w:t>
            </w:r>
          </w:p>
        </w:tc>
      </w:tr>
      <w:tr w:rsidR="00ED41D0" w:rsidRPr="002F53BC" w14:paraId="21E9B2B1" w14:textId="77777777" w:rsidTr="005375B2">
        <w:tc>
          <w:tcPr>
            <w:tcW w:w="2340" w:type="dxa"/>
            <w:tcMar>
              <w:top w:w="100" w:type="dxa"/>
              <w:left w:w="100" w:type="dxa"/>
              <w:bottom w:w="100" w:type="dxa"/>
              <w:right w:w="100" w:type="dxa"/>
            </w:tcMar>
          </w:tcPr>
          <w:p w14:paraId="31E7A5D1"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IDXX: NASDAQ</w:t>
            </w:r>
          </w:p>
        </w:tc>
        <w:tc>
          <w:tcPr>
            <w:tcW w:w="2340" w:type="dxa"/>
            <w:tcMar>
              <w:top w:w="100" w:type="dxa"/>
              <w:left w:w="100" w:type="dxa"/>
              <w:bottom w:w="100" w:type="dxa"/>
              <w:right w:w="100" w:type="dxa"/>
            </w:tcMar>
          </w:tcPr>
          <w:p w14:paraId="1ED113A0"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IDEXX Laboratories, Inc.</w:t>
            </w:r>
          </w:p>
        </w:tc>
        <w:tc>
          <w:tcPr>
            <w:tcW w:w="2340" w:type="dxa"/>
            <w:tcMar>
              <w:top w:w="100" w:type="dxa"/>
              <w:left w:w="100" w:type="dxa"/>
              <w:bottom w:w="100" w:type="dxa"/>
              <w:right w:w="100" w:type="dxa"/>
            </w:tcMar>
          </w:tcPr>
          <w:p w14:paraId="55EAACA7"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26EE601B"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Health Care</w:t>
            </w:r>
          </w:p>
        </w:tc>
      </w:tr>
      <w:tr w:rsidR="00ED41D0" w:rsidRPr="002F53BC" w14:paraId="5FB1B85A" w14:textId="77777777" w:rsidTr="005375B2">
        <w:tc>
          <w:tcPr>
            <w:tcW w:w="2340" w:type="dxa"/>
            <w:tcMar>
              <w:top w:w="100" w:type="dxa"/>
              <w:left w:w="100" w:type="dxa"/>
              <w:bottom w:w="100" w:type="dxa"/>
              <w:right w:w="100" w:type="dxa"/>
            </w:tcMar>
          </w:tcPr>
          <w:p w14:paraId="1D7903B3"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LOW: NYSE</w:t>
            </w:r>
          </w:p>
        </w:tc>
        <w:tc>
          <w:tcPr>
            <w:tcW w:w="2340" w:type="dxa"/>
            <w:tcMar>
              <w:top w:w="100" w:type="dxa"/>
              <w:left w:w="100" w:type="dxa"/>
              <w:bottom w:w="100" w:type="dxa"/>
              <w:right w:w="100" w:type="dxa"/>
            </w:tcMar>
          </w:tcPr>
          <w:p w14:paraId="468FA3DF"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Lowe’s Companies, Inc.</w:t>
            </w:r>
          </w:p>
        </w:tc>
        <w:tc>
          <w:tcPr>
            <w:tcW w:w="2340" w:type="dxa"/>
            <w:tcMar>
              <w:top w:w="100" w:type="dxa"/>
              <w:left w:w="100" w:type="dxa"/>
              <w:bottom w:w="100" w:type="dxa"/>
              <w:right w:w="100" w:type="dxa"/>
            </w:tcMar>
          </w:tcPr>
          <w:p w14:paraId="0F8E848C"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697F9CDD"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ED41D0" w:rsidRPr="002F53BC" w14:paraId="72F302D4" w14:textId="77777777" w:rsidTr="005375B2">
        <w:tc>
          <w:tcPr>
            <w:tcW w:w="2340" w:type="dxa"/>
            <w:tcMar>
              <w:top w:w="100" w:type="dxa"/>
              <w:left w:w="100" w:type="dxa"/>
              <w:bottom w:w="100" w:type="dxa"/>
              <w:right w:w="100" w:type="dxa"/>
            </w:tcMar>
          </w:tcPr>
          <w:p w14:paraId="3FFA4E61"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MCD: NYSE</w:t>
            </w:r>
          </w:p>
        </w:tc>
        <w:tc>
          <w:tcPr>
            <w:tcW w:w="2340" w:type="dxa"/>
            <w:tcMar>
              <w:top w:w="100" w:type="dxa"/>
              <w:left w:w="100" w:type="dxa"/>
              <w:bottom w:w="100" w:type="dxa"/>
              <w:right w:w="100" w:type="dxa"/>
            </w:tcMar>
          </w:tcPr>
          <w:p w14:paraId="009DB87B"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McDonalds Corporation</w:t>
            </w:r>
          </w:p>
        </w:tc>
        <w:tc>
          <w:tcPr>
            <w:tcW w:w="2340" w:type="dxa"/>
            <w:tcMar>
              <w:top w:w="100" w:type="dxa"/>
              <w:left w:w="100" w:type="dxa"/>
              <w:bottom w:w="100" w:type="dxa"/>
              <w:right w:w="100" w:type="dxa"/>
            </w:tcMar>
          </w:tcPr>
          <w:p w14:paraId="3DBB06F9"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4B075274"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ED41D0" w:rsidRPr="002F53BC" w14:paraId="19D64233" w14:textId="77777777" w:rsidTr="005375B2">
        <w:tc>
          <w:tcPr>
            <w:tcW w:w="2340" w:type="dxa"/>
            <w:tcMar>
              <w:top w:w="100" w:type="dxa"/>
              <w:left w:w="100" w:type="dxa"/>
              <w:bottom w:w="100" w:type="dxa"/>
              <w:right w:w="100" w:type="dxa"/>
            </w:tcMar>
          </w:tcPr>
          <w:p w14:paraId="6FC08549"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NBN: NASDAQ</w:t>
            </w:r>
          </w:p>
        </w:tc>
        <w:tc>
          <w:tcPr>
            <w:tcW w:w="2340" w:type="dxa"/>
            <w:tcMar>
              <w:top w:w="100" w:type="dxa"/>
              <w:left w:w="100" w:type="dxa"/>
              <w:bottom w:w="100" w:type="dxa"/>
              <w:right w:w="100" w:type="dxa"/>
            </w:tcMar>
          </w:tcPr>
          <w:p w14:paraId="47C62E8A"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Northeast Bank</w:t>
            </w:r>
          </w:p>
        </w:tc>
        <w:tc>
          <w:tcPr>
            <w:tcW w:w="2340" w:type="dxa"/>
            <w:tcMar>
              <w:top w:w="100" w:type="dxa"/>
              <w:left w:w="100" w:type="dxa"/>
              <w:bottom w:w="100" w:type="dxa"/>
              <w:right w:w="100" w:type="dxa"/>
            </w:tcMar>
          </w:tcPr>
          <w:p w14:paraId="18F44910"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6EA3B7FC"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ED41D0" w:rsidRPr="002F53BC" w14:paraId="0E49E9F9" w14:textId="77777777" w:rsidTr="005375B2">
        <w:tc>
          <w:tcPr>
            <w:tcW w:w="2340" w:type="dxa"/>
            <w:tcMar>
              <w:top w:w="100" w:type="dxa"/>
              <w:left w:w="100" w:type="dxa"/>
              <w:bottom w:w="100" w:type="dxa"/>
              <w:right w:w="100" w:type="dxa"/>
            </w:tcMar>
          </w:tcPr>
          <w:p w14:paraId="4BB6578C"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PENN: NASDAQ</w:t>
            </w:r>
          </w:p>
        </w:tc>
        <w:tc>
          <w:tcPr>
            <w:tcW w:w="2340" w:type="dxa"/>
            <w:tcMar>
              <w:top w:w="100" w:type="dxa"/>
              <w:left w:w="100" w:type="dxa"/>
              <w:bottom w:w="100" w:type="dxa"/>
              <w:right w:w="100" w:type="dxa"/>
            </w:tcMar>
          </w:tcPr>
          <w:p w14:paraId="2D497877"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Penn National Gaming, Inc.</w:t>
            </w:r>
          </w:p>
        </w:tc>
        <w:tc>
          <w:tcPr>
            <w:tcW w:w="2340" w:type="dxa"/>
            <w:tcMar>
              <w:top w:w="100" w:type="dxa"/>
              <w:left w:w="100" w:type="dxa"/>
              <w:bottom w:w="100" w:type="dxa"/>
              <w:right w:w="100" w:type="dxa"/>
            </w:tcMar>
          </w:tcPr>
          <w:p w14:paraId="769F4891"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57AFCCA0"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ED41D0" w:rsidRPr="002F53BC" w14:paraId="14F59829" w14:textId="77777777" w:rsidTr="005375B2">
        <w:tc>
          <w:tcPr>
            <w:tcW w:w="2340" w:type="dxa"/>
            <w:tcMar>
              <w:top w:w="100" w:type="dxa"/>
              <w:left w:w="100" w:type="dxa"/>
              <w:bottom w:w="100" w:type="dxa"/>
              <w:right w:w="100" w:type="dxa"/>
            </w:tcMar>
          </w:tcPr>
          <w:p w14:paraId="44A1B2C0"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RTX: NYSE</w:t>
            </w:r>
          </w:p>
        </w:tc>
        <w:tc>
          <w:tcPr>
            <w:tcW w:w="2340" w:type="dxa"/>
            <w:tcMar>
              <w:top w:w="100" w:type="dxa"/>
              <w:left w:w="100" w:type="dxa"/>
              <w:bottom w:w="100" w:type="dxa"/>
              <w:right w:w="100" w:type="dxa"/>
            </w:tcMar>
          </w:tcPr>
          <w:p w14:paraId="0A53398F"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Raytheon Technologies Corporation</w:t>
            </w:r>
          </w:p>
        </w:tc>
        <w:tc>
          <w:tcPr>
            <w:tcW w:w="2340" w:type="dxa"/>
            <w:tcMar>
              <w:top w:w="100" w:type="dxa"/>
              <w:left w:w="100" w:type="dxa"/>
              <w:bottom w:w="100" w:type="dxa"/>
              <w:right w:w="100" w:type="dxa"/>
            </w:tcMar>
          </w:tcPr>
          <w:p w14:paraId="35D3D334"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1A5A4AD5"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Industrials</w:t>
            </w:r>
          </w:p>
        </w:tc>
      </w:tr>
      <w:tr w:rsidR="00ED41D0" w:rsidRPr="002F53BC" w14:paraId="335D3B87" w14:textId="77777777" w:rsidTr="005375B2">
        <w:tc>
          <w:tcPr>
            <w:tcW w:w="2340" w:type="dxa"/>
            <w:tcMar>
              <w:top w:w="100" w:type="dxa"/>
              <w:left w:w="100" w:type="dxa"/>
              <w:bottom w:w="100" w:type="dxa"/>
              <w:right w:w="100" w:type="dxa"/>
            </w:tcMar>
          </w:tcPr>
          <w:p w14:paraId="2CDB1B03"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TD: NYSE</w:t>
            </w:r>
          </w:p>
        </w:tc>
        <w:tc>
          <w:tcPr>
            <w:tcW w:w="2340" w:type="dxa"/>
            <w:tcMar>
              <w:top w:w="100" w:type="dxa"/>
              <w:left w:w="100" w:type="dxa"/>
              <w:bottom w:w="100" w:type="dxa"/>
              <w:right w:w="100" w:type="dxa"/>
            </w:tcMar>
          </w:tcPr>
          <w:p w14:paraId="6CA80BD1"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The Toronto-Dominion Bank</w:t>
            </w:r>
          </w:p>
        </w:tc>
        <w:tc>
          <w:tcPr>
            <w:tcW w:w="2340" w:type="dxa"/>
            <w:tcMar>
              <w:top w:w="100" w:type="dxa"/>
              <w:left w:w="100" w:type="dxa"/>
              <w:bottom w:w="100" w:type="dxa"/>
              <w:right w:w="100" w:type="dxa"/>
            </w:tcMar>
          </w:tcPr>
          <w:p w14:paraId="05DA46F1"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21E04253"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ED41D0" w:rsidRPr="002F53BC" w14:paraId="2822E6BA" w14:textId="77777777" w:rsidTr="005375B2">
        <w:tc>
          <w:tcPr>
            <w:tcW w:w="2340" w:type="dxa"/>
            <w:tcMar>
              <w:top w:w="100" w:type="dxa"/>
              <w:left w:w="100" w:type="dxa"/>
              <w:bottom w:w="100" w:type="dxa"/>
              <w:right w:w="100" w:type="dxa"/>
            </w:tcMar>
          </w:tcPr>
          <w:p w14:paraId="1AC16790"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lastRenderedPageBreak/>
              <w:t>TMUS: NASDAQ</w:t>
            </w:r>
          </w:p>
        </w:tc>
        <w:tc>
          <w:tcPr>
            <w:tcW w:w="2340" w:type="dxa"/>
            <w:tcMar>
              <w:top w:w="100" w:type="dxa"/>
              <w:left w:w="100" w:type="dxa"/>
              <w:bottom w:w="100" w:type="dxa"/>
              <w:right w:w="100" w:type="dxa"/>
            </w:tcMar>
          </w:tcPr>
          <w:p w14:paraId="08AEB7AA"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T-Mobile US, Inc.</w:t>
            </w:r>
          </w:p>
        </w:tc>
        <w:tc>
          <w:tcPr>
            <w:tcW w:w="2340" w:type="dxa"/>
            <w:tcMar>
              <w:top w:w="100" w:type="dxa"/>
              <w:left w:w="100" w:type="dxa"/>
              <w:bottom w:w="100" w:type="dxa"/>
              <w:right w:w="100" w:type="dxa"/>
            </w:tcMar>
          </w:tcPr>
          <w:p w14:paraId="31C898A6"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7794F25E"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Services</w:t>
            </w:r>
          </w:p>
        </w:tc>
      </w:tr>
      <w:tr w:rsidR="00ED41D0" w:rsidRPr="002F53BC" w14:paraId="1F34D5D8" w14:textId="77777777" w:rsidTr="005375B2">
        <w:tc>
          <w:tcPr>
            <w:tcW w:w="2340" w:type="dxa"/>
            <w:tcMar>
              <w:top w:w="100" w:type="dxa"/>
              <w:left w:w="100" w:type="dxa"/>
              <w:bottom w:w="100" w:type="dxa"/>
              <w:right w:w="100" w:type="dxa"/>
            </w:tcMar>
          </w:tcPr>
          <w:p w14:paraId="5DFA3AAC"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UPS: NYSE</w:t>
            </w:r>
          </w:p>
        </w:tc>
        <w:tc>
          <w:tcPr>
            <w:tcW w:w="2340" w:type="dxa"/>
            <w:tcMar>
              <w:top w:w="100" w:type="dxa"/>
              <w:left w:w="100" w:type="dxa"/>
              <w:bottom w:w="100" w:type="dxa"/>
              <w:right w:w="100" w:type="dxa"/>
            </w:tcMar>
          </w:tcPr>
          <w:p w14:paraId="63A9AECD"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United Parcel Service, Inc.</w:t>
            </w:r>
          </w:p>
        </w:tc>
        <w:tc>
          <w:tcPr>
            <w:tcW w:w="2340" w:type="dxa"/>
            <w:tcMar>
              <w:top w:w="100" w:type="dxa"/>
              <w:left w:w="100" w:type="dxa"/>
              <w:bottom w:w="100" w:type="dxa"/>
              <w:right w:w="100" w:type="dxa"/>
            </w:tcMar>
          </w:tcPr>
          <w:p w14:paraId="7FA3D1E6"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4AB8662E"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Industrials</w:t>
            </w:r>
          </w:p>
        </w:tc>
      </w:tr>
      <w:tr w:rsidR="00ED41D0" w:rsidRPr="002F53BC" w14:paraId="6DD34803" w14:textId="77777777" w:rsidTr="005375B2">
        <w:tc>
          <w:tcPr>
            <w:tcW w:w="2340" w:type="dxa"/>
            <w:tcMar>
              <w:top w:w="100" w:type="dxa"/>
              <w:left w:w="100" w:type="dxa"/>
              <w:bottom w:w="100" w:type="dxa"/>
              <w:right w:w="100" w:type="dxa"/>
            </w:tcMar>
          </w:tcPr>
          <w:p w14:paraId="48FC7EDC"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UNM: NYSE</w:t>
            </w:r>
          </w:p>
        </w:tc>
        <w:tc>
          <w:tcPr>
            <w:tcW w:w="2340" w:type="dxa"/>
            <w:tcMar>
              <w:top w:w="100" w:type="dxa"/>
              <w:left w:w="100" w:type="dxa"/>
              <w:bottom w:w="100" w:type="dxa"/>
              <w:right w:w="100" w:type="dxa"/>
            </w:tcMar>
          </w:tcPr>
          <w:p w14:paraId="199B8B07"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UNUM Group</w:t>
            </w:r>
          </w:p>
        </w:tc>
        <w:tc>
          <w:tcPr>
            <w:tcW w:w="2340" w:type="dxa"/>
            <w:tcMar>
              <w:top w:w="100" w:type="dxa"/>
              <w:left w:w="100" w:type="dxa"/>
              <w:bottom w:w="100" w:type="dxa"/>
              <w:right w:w="100" w:type="dxa"/>
            </w:tcMar>
          </w:tcPr>
          <w:p w14:paraId="7F313B7E"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1EC45A92"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ED41D0" w:rsidRPr="002F53BC" w14:paraId="520B07BE" w14:textId="77777777" w:rsidTr="005375B2">
        <w:tc>
          <w:tcPr>
            <w:tcW w:w="2340" w:type="dxa"/>
            <w:tcMar>
              <w:top w:w="100" w:type="dxa"/>
              <w:left w:w="100" w:type="dxa"/>
              <w:bottom w:w="100" w:type="dxa"/>
              <w:right w:w="100" w:type="dxa"/>
            </w:tcMar>
          </w:tcPr>
          <w:p w14:paraId="5D7E8509"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VLO: NYSE</w:t>
            </w:r>
          </w:p>
        </w:tc>
        <w:tc>
          <w:tcPr>
            <w:tcW w:w="2340" w:type="dxa"/>
            <w:tcMar>
              <w:top w:w="100" w:type="dxa"/>
              <w:left w:w="100" w:type="dxa"/>
              <w:bottom w:w="100" w:type="dxa"/>
              <w:right w:w="100" w:type="dxa"/>
            </w:tcMar>
          </w:tcPr>
          <w:p w14:paraId="59C2A47A"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Valero Energy Corporation</w:t>
            </w:r>
          </w:p>
        </w:tc>
        <w:tc>
          <w:tcPr>
            <w:tcW w:w="2340" w:type="dxa"/>
            <w:tcMar>
              <w:top w:w="100" w:type="dxa"/>
              <w:left w:w="100" w:type="dxa"/>
              <w:bottom w:w="100" w:type="dxa"/>
              <w:right w:w="100" w:type="dxa"/>
            </w:tcMar>
          </w:tcPr>
          <w:p w14:paraId="1B2CBFFA"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1ECDA3A1"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Energy</w:t>
            </w:r>
          </w:p>
        </w:tc>
      </w:tr>
      <w:tr w:rsidR="00ED41D0" w:rsidRPr="002F53BC" w14:paraId="6F5742B1" w14:textId="77777777" w:rsidTr="005375B2">
        <w:tc>
          <w:tcPr>
            <w:tcW w:w="2340" w:type="dxa"/>
            <w:tcMar>
              <w:top w:w="100" w:type="dxa"/>
              <w:left w:w="100" w:type="dxa"/>
              <w:bottom w:w="100" w:type="dxa"/>
              <w:right w:w="100" w:type="dxa"/>
            </w:tcMar>
          </w:tcPr>
          <w:p w14:paraId="0C34DCF8"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WMT: NYSE</w:t>
            </w:r>
          </w:p>
        </w:tc>
        <w:tc>
          <w:tcPr>
            <w:tcW w:w="2340" w:type="dxa"/>
            <w:tcMar>
              <w:top w:w="100" w:type="dxa"/>
              <w:left w:w="100" w:type="dxa"/>
              <w:bottom w:w="100" w:type="dxa"/>
              <w:right w:w="100" w:type="dxa"/>
            </w:tcMar>
          </w:tcPr>
          <w:p w14:paraId="630DBA82"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Walmart, Inc.</w:t>
            </w:r>
          </w:p>
        </w:tc>
        <w:tc>
          <w:tcPr>
            <w:tcW w:w="2340" w:type="dxa"/>
            <w:tcMar>
              <w:top w:w="100" w:type="dxa"/>
              <w:left w:w="100" w:type="dxa"/>
              <w:bottom w:w="100" w:type="dxa"/>
              <w:right w:w="100" w:type="dxa"/>
            </w:tcMar>
          </w:tcPr>
          <w:p w14:paraId="20B8F1B5"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721D767B"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Services</w:t>
            </w:r>
          </w:p>
        </w:tc>
      </w:tr>
      <w:tr w:rsidR="00ED41D0" w:rsidRPr="002F53BC" w14:paraId="08431F8A" w14:textId="77777777" w:rsidTr="005375B2">
        <w:tc>
          <w:tcPr>
            <w:tcW w:w="2340" w:type="dxa"/>
            <w:tcMar>
              <w:top w:w="100" w:type="dxa"/>
              <w:left w:w="100" w:type="dxa"/>
              <w:bottom w:w="100" w:type="dxa"/>
              <w:right w:w="100" w:type="dxa"/>
            </w:tcMar>
          </w:tcPr>
          <w:p w14:paraId="01A683CE"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WEX: NYSE</w:t>
            </w:r>
          </w:p>
        </w:tc>
        <w:tc>
          <w:tcPr>
            <w:tcW w:w="2340" w:type="dxa"/>
            <w:tcMar>
              <w:top w:w="100" w:type="dxa"/>
              <w:left w:w="100" w:type="dxa"/>
              <w:bottom w:w="100" w:type="dxa"/>
              <w:right w:w="100" w:type="dxa"/>
            </w:tcMar>
          </w:tcPr>
          <w:p w14:paraId="6C1B20EB"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WEX, Inc.</w:t>
            </w:r>
          </w:p>
        </w:tc>
        <w:tc>
          <w:tcPr>
            <w:tcW w:w="2340" w:type="dxa"/>
            <w:tcMar>
              <w:top w:w="100" w:type="dxa"/>
              <w:left w:w="100" w:type="dxa"/>
              <w:bottom w:w="100" w:type="dxa"/>
              <w:right w:w="100" w:type="dxa"/>
            </w:tcMar>
          </w:tcPr>
          <w:p w14:paraId="67CAC238"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6889C478" w14:textId="77777777" w:rsidR="00ED41D0" w:rsidRPr="002F53BC" w:rsidRDefault="00ED41D0" w:rsidP="005375B2">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Information Technologies</w:t>
            </w:r>
          </w:p>
        </w:tc>
      </w:tr>
    </w:tbl>
    <w:p w14:paraId="121DB2D9" w14:textId="77777777" w:rsidR="00ED41D0" w:rsidRPr="002F53BC" w:rsidRDefault="00ED41D0" w:rsidP="00ED41D0">
      <w:pPr>
        <w:rPr>
          <w:rFonts w:ascii="Times New Roman" w:eastAsia="Times New Roman" w:hAnsi="Times New Roman" w:cs="Times New Roman"/>
        </w:rPr>
      </w:pPr>
    </w:p>
    <w:p w14:paraId="1862EDC6" w14:textId="77777777" w:rsidR="00ED41D0" w:rsidRPr="002F53BC" w:rsidRDefault="00ED41D0" w:rsidP="00ED41D0">
      <w:pPr>
        <w:rPr>
          <w:rFonts w:ascii="Times New Roman" w:eastAsia="Times New Roman" w:hAnsi="Times New Roman" w:cs="Times New Roman"/>
        </w:rPr>
      </w:pPr>
    </w:p>
    <w:p w14:paraId="26488E96" w14:textId="77777777" w:rsidR="00ED41D0" w:rsidRPr="002F53BC" w:rsidRDefault="00ED41D0" w:rsidP="00ED41D0">
      <w:pPr>
        <w:rPr>
          <w:rFonts w:ascii="Times New Roman" w:hAnsi="Times New Roman" w:cs="Times New Roman"/>
        </w:rPr>
      </w:pPr>
    </w:p>
    <w:p w14:paraId="4892D92C" w14:textId="77777777" w:rsidR="00ED41D0" w:rsidRPr="002F53BC" w:rsidRDefault="00ED41D0" w:rsidP="00ED41D0">
      <w:pPr>
        <w:rPr>
          <w:rFonts w:ascii="Times New Roman" w:hAnsi="Times New Roman" w:cs="Times New Roman"/>
        </w:rPr>
      </w:pPr>
    </w:p>
    <w:p w14:paraId="03D3A251" w14:textId="77777777" w:rsidR="00450EBB" w:rsidRDefault="00450EBB"/>
    <w:sectPr w:rsidR="00450EBB" w:rsidSect="00ED41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1D0"/>
    <w:rsid w:val="002A740E"/>
    <w:rsid w:val="00450EBB"/>
    <w:rsid w:val="004C0A06"/>
    <w:rsid w:val="004C3F3C"/>
    <w:rsid w:val="00744229"/>
    <w:rsid w:val="007D4590"/>
    <w:rsid w:val="00ED41D0"/>
    <w:rsid w:val="00F057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1A7ED"/>
  <w15:chartTrackingRefBased/>
  <w15:docId w15:val="{6545F8EE-05F1-42EC-9CA5-DF4E87B37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1D0"/>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ED41D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ED41D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ED41D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ED41D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ED41D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ED41D0"/>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ED41D0"/>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ED41D0"/>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ED41D0"/>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41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41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41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41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41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41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41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41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41D0"/>
    <w:rPr>
      <w:rFonts w:eastAsiaTheme="majorEastAsia" w:cstheme="majorBidi"/>
      <w:color w:val="272727" w:themeColor="text1" w:themeTint="D8"/>
    </w:rPr>
  </w:style>
  <w:style w:type="paragraph" w:styleId="Title">
    <w:name w:val="Title"/>
    <w:basedOn w:val="Normal"/>
    <w:next w:val="Normal"/>
    <w:link w:val="TitleChar"/>
    <w:uiPriority w:val="10"/>
    <w:qFormat/>
    <w:rsid w:val="00ED41D0"/>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ED41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41D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ED41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41D0"/>
    <w:pPr>
      <w:spacing w:before="160" w:after="160" w:line="278" w:lineRule="auto"/>
      <w:jc w:val="center"/>
    </w:pPr>
    <w:rPr>
      <w:rFonts w:asciiTheme="minorHAnsi" w:eastAsiaTheme="minorEastAsia"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ED41D0"/>
    <w:rPr>
      <w:i/>
      <w:iCs/>
      <w:color w:val="404040" w:themeColor="text1" w:themeTint="BF"/>
    </w:rPr>
  </w:style>
  <w:style w:type="paragraph" w:styleId="ListParagraph">
    <w:name w:val="List Paragraph"/>
    <w:basedOn w:val="Normal"/>
    <w:uiPriority w:val="34"/>
    <w:qFormat/>
    <w:rsid w:val="00ED41D0"/>
    <w:pPr>
      <w:spacing w:after="160" w:line="278" w:lineRule="auto"/>
      <w:ind w:left="720"/>
      <w:contextualSpacing/>
    </w:pPr>
    <w:rPr>
      <w:rFonts w:asciiTheme="minorHAnsi" w:eastAsiaTheme="minorEastAsia"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ED41D0"/>
    <w:rPr>
      <w:i/>
      <w:iCs/>
      <w:color w:val="0F4761" w:themeColor="accent1" w:themeShade="BF"/>
    </w:rPr>
  </w:style>
  <w:style w:type="paragraph" w:styleId="IntenseQuote">
    <w:name w:val="Intense Quote"/>
    <w:basedOn w:val="Normal"/>
    <w:next w:val="Normal"/>
    <w:link w:val="IntenseQuoteChar"/>
    <w:uiPriority w:val="30"/>
    <w:qFormat/>
    <w:rsid w:val="00ED41D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ED41D0"/>
    <w:rPr>
      <w:i/>
      <w:iCs/>
      <w:color w:val="0F4761" w:themeColor="accent1" w:themeShade="BF"/>
    </w:rPr>
  </w:style>
  <w:style w:type="character" w:styleId="IntenseReference">
    <w:name w:val="Intense Reference"/>
    <w:basedOn w:val="DefaultParagraphFont"/>
    <w:uiPriority w:val="32"/>
    <w:qFormat/>
    <w:rsid w:val="00ED41D0"/>
    <w:rPr>
      <w:b/>
      <w:bCs/>
      <w:smallCaps/>
      <w:color w:val="0F4761" w:themeColor="accent1" w:themeShade="BF"/>
      <w:spacing w:val="5"/>
    </w:rPr>
  </w:style>
  <w:style w:type="character" w:styleId="Hyperlink">
    <w:name w:val="Hyperlink"/>
    <w:basedOn w:val="DefaultParagraphFont"/>
    <w:uiPriority w:val="99"/>
    <w:unhideWhenUsed/>
    <w:rsid w:val="00ED41D0"/>
    <w:rPr>
      <w:color w:val="467886" w:themeColor="hyperlink"/>
      <w:u w:val="single"/>
    </w:rPr>
  </w:style>
  <w:style w:type="paragraph" w:styleId="Revision">
    <w:name w:val="Revision"/>
    <w:hidden/>
    <w:uiPriority w:val="99"/>
    <w:semiHidden/>
    <w:rsid w:val="00F057DE"/>
    <w:pPr>
      <w:spacing w:after="0" w:line="240" w:lineRule="auto"/>
    </w:pPr>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refis.com/stock/vlo/articles/614873/valero-energy-stock-climbs-12-on-an-8-day-winning-streak/2026-09-1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vestors.pennentertainment.com/" TargetMode="External"/><Relationship Id="rId5" Type="http://schemas.openxmlformats.org/officeDocument/2006/relationships/hyperlink" Target="https://finance.yahoo.com/markets/stocks/articles/idexx-laboratories-stock-underperforming-dow-092107446.html" TargetMode="External"/><Relationship Id="rId4" Type="http://schemas.openxmlformats.org/officeDocument/2006/relationships/hyperlink" Target="https://ca.investing.com/news/stock-market-news/comcast-drops-7-on-persistent-broadband-losses-and-irrational-fiber-pricing-483314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1044</Words>
  <Characters>5954</Characters>
  <Application>Microsoft Office Word</Application>
  <DocSecurity>0</DocSecurity>
  <Lines>49</Lines>
  <Paragraphs>13</Paragraphs>
  <ScaleCrop>false</ScaleCrop>
  <Company/>
  <LinksUpToDate>false</LinksUpToDate>
  <CharactersWithSpaces>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Cooper Grondin</dc:creator>
  <cp:keywords/>
  <dc:description/>
  <cp:lastModifiedBy>Jia Liu</cp:lastModifiedBy>
  <cp:revision>4</cp:revision>
  <dcterms:created xsi:type="dcterms:W3CDTF">2026-09-12T15:00:00Z</dcterms:created>
  <dcterms:modified xsi:type="dcterms:W3CDTF">2026-09-14T11:05:00Z</dcterms:modified>
</cp:coreProperties>
</file>