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DF575" w14:textId="77777777" w:rsidR="000430A4" w:rsidRPr="00045B69" w:rsidRDefault="000430A4" w:rsidP="000430A4">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Husson Stock Index</w:t>
      </w:r>
    </w:p>
    <w:p w14:paraId="1B7E4599" w14:textId="77777777" w:rsidR="000430A4" w:rsidRPr="00045B69" w:rsidRDefault="000430A4" w:rsidP="000430A4">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 xml:space="preserve">Friday, </w:t>
      </w:r>
      <w:r>
        <w:rPr>
          <w:rFonts w:ascii="Times New Roman" w:eastAsia="Times New Roman" w:hAnsi="Times New Roman" w:cs="Times New Roman"/>
          <w:b/>
          <w:bCs/>
          <w:sz w:val="24"/>
          <w:szCs w:val="24"/>
        </w:rPr>
        <w:t>October 16th</w:t>
      </w:r>
      <w:r w:rsidRPr="00045B69">
        <w:rPr>
          <w:rFonts w:ascii="Times New Roman" w:eastAsia="Times New Roman" w:hAnsi="Times New Roman" w:cs="Times New Roman"/>
          <w:b/>
          <w:bCs/>
          <w:sz w:val="24"/>
          <w:szCs w:val="24"/>
        </w:rPr>
        <w:t>, 2026</w:t>
      </w:r>
    </w:p>
    <w:p w14:paraId="5640CBFB" w14:textId="068596F6" w:rsidR="000430A4" w:rsidRPr="00045B69" w:rsidRDefault="000430A4" w:rsidP="000430A4">
      <w:pPr>
        <w:rPr>
          <w:rFonts w:ascii="Times New Roman" w:eastAsia="Times New Roman" w:hAnsi="Times New Roman" w:cs="Times New Roman"/>
          <w:sz w:val="24"/>
          <w:szCs w:val="24"/>
        </w:rPr>
      </w:pPr>
      <w:r w:rsidRPr="00045B69">
        <w:rPr>
          <w:rFonts w:ascii="Times New Roman" w:eastAsia="Times New Roman" w:hAnsi="Times New Roman" w:cs="Times New Roman"/>
          <w:b/>
          <w:bCs/>
          <w:sz w:val="24"/>
          <w:szCs w:val="24"/>
        </w:rPr>
        <w:tab/>
      </w:r>
      <w:r w:rsidRPr="00045B69">
        <w:rPr>
          <w:rFonts w:ascii="Times New Roman" w:eastAsia="Times New Roman" w:hAnsi="Times New Roman" w:cs="Times New Roman"/>
          <w:sz w:val="24"/>
          <w:szCs w:val="24"/>
        </w:rPr>
        <w:t xml:space="preserve">For the week ending </w:t>
      </w:r>
      <w:r>
        <w:rPr>
          <w:rFonts w:ascii="Times New Roman" w:eastAsia="Times New Roman" w:hAnsi="Times New Roman" w:cs="Times New Roman"/>
          <w:sz w:val="24"/>
          <w:szCs w:val="24"/>
        </w:rPr>
        <w:t>October 16</w:t>
      </w:r>
      <w:r w:rsidRPr="00045B69">
        <w:rPr>
          <w:rFonts w:ascii="Times New Roman" w:eastAsia="Times New Roman" w:hAnsi="Times New Roman" w:cs="Times New Roman"/>
          <w:sz w:val="24"/>
          <w:szCs w:val="24"/>
        </w:rPr>
        <w:t xml:space="preserve">, 2026, the Husson Stock </w:t>
      </w:r>
      <w:r w:rsidR="00F029E2">
        <w:rPr>
          <w:rFonts w:ascii="Times New Roman" w:eastAsia="Times New Roman" w:hAnsi="Times New Roman" w:cs="Times New Roman"/>
          <w:sz w:val="24"/>
          <w:szCs w:val="24"/>
        </w:rPr>
        <w:t>I</w:t>
      </w:r>
      <w:r w:rsidRPr="00045B69">
        <w:rPr>
          <w:rFonts w:ascii="Times New Roman" w:eastAsia="Times New Roman" w:hAnsi="Times New Roman" w:cs="Times New Roman"/>
          <w:sz w:val="24"/>
          <w:szCs w:val="24"/>
        </w:rPr>
        <w:t>ndex (HSI) closed at 2</w:t>
      </w:r>
      <w:r>
        <w:rPr>
          <w:rFonts w:ascii="Times New Roman" w:eastAsia="Times New Roman" w:hAnsi="Times New Roman" w:cs="Times New Roman"/>
          <w:sz w:val="24"/>
          <w:szCs w:val="24"/>
        </w:rPr>
        <w:t>59.54</w:t>
      </w:r>
      <w:r w:rsidRPr="00045B69">
        <w:rPr>
          <w:rFonts w:ascii="Times New Roman" w:eastAsia="Times New Roman" w:hAnsi="Times New Roman" w:cs="Times New Roman"/>
          <w:sz w:val="24"/>
          <w:szCs w:val="24"/>
        </w:rPr>
        <w:t>, a</w:t>
      </w:r>
      <w:r>
        <w:rPr>
          <w:rFonts w:ascii="Times New Roman" w:eastAsia="Times New Roman" w:hAnsi="Times New Roman" w:cs="Times New Roman"/>
          <w:sz w:val="24"/>
          <w:szCs w:val="24"/>
        </w:rPr>
        <w:t>n</w:t>
      </w:r>
      <w:r w:rsidRPr="00045B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increase</w:t>
      </w:r>
      <w:r w:rsidRPr="00045B69">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4.99</w:t>
      </w:r>
      <w:r w:rsidRPr="00045B69">
        <w:rPr>
          <w:rFonts w:ascii="Times New Roman" w:eastAsia="Times New Roman" w:hAnsi="Times New Roman" w:cs="Times New Roman"/>
          <w:sz w:val="24"/>
          <w:szCs w:val="24"/>
        </w:rPr>
        <w:t xml:space="preserve">% from last week, which was </w:t>
      </w:r>
      <w:r>
        <w:rPr>
          <w:rFonts w:ascii="Times New Roman" w:eastAsia="Times New Roman" w:hAnsi="Times New Roman" w:cs="Times New Roman"/>
          <w:sz w:val="24"/>
          <w:szCs w:val="24"/>
        </w:rPr>
        <w:t>247.22</w:t>
      </w:r>
      <w:r w:rsidRPr="00045B69">
        <w:rPr>
          <w:rFonts w:ascii="Times New Roman" w:eastAsia="Times New Roman" w:hAnsi="Times New Roman" w:cs="Times New Roman"/>
          <w:sz w:val="24"/>
          <w:szCs w:val="24"/>
        </w:rPr>
        <w:t xml:space="preserve">. The HSI </w:t>
      </w:r>
      <w:r>
        <w:rPr>
          <w:rFonts w:ascii="Times New Roman" w:eastAsia="Times New Roman" w:hAnsi="Times New Roman" w:cs="Times New Roman"/>
          <w:sz w:val="24"/>
          <w:szCs w:val="24"/>
        </w:rPr>
        <w:t xml:space="preserve">is now currently </w:t>
      </w:r>
      <w:r w:rsidR="00F029E2">
        <w:rPr>
          <w:rFonts w:ascii="Times New Roman" w:eastAsia="Times New Roman" w:hAnsi="Times New Roman" w:cs="Times New Roman"/>
          <w:sz w:val="24"/>
          <w:szCs w:val="24"/>
        </w:rPr>
        <w:t>up</w:t>
      </w:r>
      <w:r>
        <w:rPr>
          <w:rFonts w:ascii="Times New Roman" w:eastAsia="Times New Roman" w:hAnsi="Times New Roman" w:cs="Times New Roman"/>
          <w:sz w:val="24"/>
          <w:szCs w:val="24"/>
        </w:rPr>
        <w:t xml:space="preserve"> 2.90%</w:t>
      </w:r>
      <w:r w:rsidRPr="00045B69">
        <w:rPr>
          <w:rFonts w:ascii="Times New Roman" w:eastAsia="Times New Roman" w:hAnsi="Times New Roman" w:cs="Times New Roman"/>
          <w:sz w:val="24"/>
          <w:szCs w:val="24"/>
        </w:rPr>
        <w:t xml:space="preserve"> year-to-date. The S&amp;P 500 (GSPC) saw </w:t>
      </w:r>
      <w:r>
        <w:rPr>
          <w:rFonts w:ascii="Times New Roman" w:eastAsia="Times New Roman" w:hAnsi="Times New Roman" w:cs="Times New Roman"/>
          <w:sz w:val="24"/>
          <w:szCs w:val="24"/>
        </w:rPr>
        <w:t>a large decrease of 1.95</w:t>
      </w:r>
      <w:r w:rsidRPr="00045B69">
        <w:rPr>
          <w:rFonts w:ascii="Times New Roman" w:eastAsia="Times New Roman" w:hAnsi="Times New Roman" w:cs="Times New Roman"/>
          <w:sz w:val="24"/>
          <w:szCs w:val="24"/>
        </w:rPr>
        <w:t>% this week</w:t>
      </w:r>
      <w:r w:rsidR="00F029E2">
        <w:rPr>
          <w:rFonts w:ascii="Times New Roman" w:eastAsia="Times New Roman" w:hAnsi="Times New Roman" w:cs="Times New Roman"/>
          <w:sz w:val="24"/>
          <w:szCs w:val="24"/>
        </w:rPr>
        <w:t>,</w:t>
      </w:r>
      <w:r w:rsidRPr="00045B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resulting in</w:t>
      </w:r>
      <w:r w:rsidRPr="00045B69">
        <w:rPr>
          <w:rFonts w:ascii="Times New Roman" w:eastAsia="Times New Roman" w:hAnsi="Times New Roman" w:cs="Times New Roman"/>
          <w:sz w:val="24"/>
          <w:szCs w:val="24"/>
        </w:rPr>
        <w:t xml:space="preserve"> a YTD increase of 1</w:t>
      </w:r>
      <w:r>
        <w:rPr>
          <w:rFonts w:ascii="Times New Roman" w:eastAsia="Times New Roman" w:hAnsi="Times New Roman" w:cs="Times New Roman"/>
          <w:sz w:val="24"/>
          <w:szCs w:val="24"/>
        </w:rPr>
        <w:t>1.68</w:t>
      </w:r>
      <w:r w:rsidRPr="00045B69">
        <w:rPr>
          <w:rFonts w:ascii="Times New Roman" w:eastAsia="Times New Roman" w:hAnsi="Times New Roman" w:cs="Times New Roman"/>
          <w:sz w:val="24"/>
          <w:szCs w:val="24"/>
        </w:rPr>
        <w:t>%. The Dow Jones Industrial Average (DJIA) saw a</w:t>
      </w:r>
      <w:r>
        <w:rPr>
          <w:rFonts w:ascii="Times New Roman" w:eastAsia="Times New Roman" w:hAnsi="Times New Roman" w:cs="Times New Roman"/>
          <w:sz w:val="24"/>
          <w:szCs w:val="24"/>
        </w:rPr>
        <w:t xml:space="preserve">n increase </w:t>
      </w:r>
      <w:r w:rsidRPr="00045B69">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0.67</w:t>
      </w:r>
      <w:r w:rsidRPr="00045B69">
        <w:rPr>
          <w:rFonts w:ascii="Times New Roman" w:eastAsia="Times New Roman" w:hAnsi="Times New Roman" w:cs="Times New Roman"/>
          <w:sz w:val="24"/>
          <w:szCs w:val="24"/>
        </w:rPr>
        <w:t>% this week</w:t>
      </w:r>
      <w:r w:rsidR="00F029E2">
        <w:rPr>
          <w:rFonts w:ascii="Times New Roman" w:eastAsia="Times New Roman" w:hAnsi="Times New Roman" w:cs="Times New Roman"/>
          <w:sz w:val="24"/>
          <w:szCs w:val="24"/>
        </w:rPr>
        <w:t>.</w:t>
      </w:r>
      <w:r w:rsidR="000B6A2F">
        <w:rPr>
          <w:rFonts w:ascii="Times New Roman" w:eastAsia="Times New Roman" w:hAnsi="Times New Roman" w:cs="Times New Roman"/>
          <w:sz w:val="24"/>
          <w:szCs w:val="24"/>
        </w:rPr>
        <w:t xml:space="preserve"> </w:t>
      </w:r>
      <w:r w:rsidR="00F029E2">
        <w:rPr>
          <w:rFonts w:ascii="Times New Roman" w:eastAsia="Times New Roman" w:hAnsi="Times New Roman" w:cs="Times New Roman"/>
          <w:sz w:val="24"/>
          <w:szCs w:val="24"/>
        </w:rPr>
        <w:t>T</w:t>
      </w:r>
      <w:r w:rsidRPr="00045B69">
        <w:rPr>
          <w:rFonts w:ascii="Times New Roman" w:eastAsia="Times New Roman" w:hAnsi="Times New Roman" w:cs="Times New Roman"/>
          <w:sz w:val="24"/>
          <w:szCs w:val="24"/>
        </w:rPr>
        <w:t>herefore</w:t>
      </w:r>
      <w:r w:rsidR="00F029E2">
        <w:rPr>
          <w:rFonts w:ascii="Times New Roman" w:eastAsia="Times New Roman" w:hAnsi="Times New Roman" w:cs="Times New Roman"/>
          <w:sz w:val="24"/>
          <w:szCs w:val="24"/>
        </w:rPr>
        <w:t>,</w:t>
      </w:r>
      <w:r w:rsidRPr="00045B69">
        <w:rPr>
          <w:rFonts w:ascii="Times New Roman" w:eastAsia="Times New Roman" w:hAnsi="Times New Roman" w:cs="Times New Roman"/>
          <w:sz w:val="24"/>
          <w:szCs w:val="24"/>
        </w:rPr>
        <w:t xml:space="preserve"> its year-to-date gain is now </w:t>
      </w:r>
      <w:r>
        <w:rPr>
          <w:rFonts w:ascii="Times New Roman" w:eastAsia="Times New Roman" w:hAnsi="Times New Roman" w:cs="Times New Roman"/>
          <w:sz w:val="24"/>
          <w:szCs w:val="24"/>
        </w:rPr>
        <w:t>7.48</w:t>
      </w:r>
      <w:r w:rsidRPr="00045B69">
        <w:rPr>
          <w:rFonts w:ascii="Times New Roman" w:eastAsia="Times New Roman" w:hAnsi="Times New Roman" w:cs="Times New Roman"/>
          <w:sz w:val="24"/>
          <w:szCs w:val="24"/>
        </w:rPr>
        <w:t>%.</w:t>
      </w:r>
    </w:p>
    <w:p w14:paraId="0EDE4E61" w14:textId="77777777" w:rsidR="000430A4" w:rsidRPr="00045B69" w:rsidRDefault="000430A4" w:rsidP="000430A4">
      <w:pPr>
        <w:jc w:val="center"/>
        <w:rPr>
          <w:rFonts w:ascii="Times New Roman" w:eastAsia="Times New Roman" w:hAnsi="Times New Roman" w:cs="Times New Roman"/>
          <w:sz w:val="24"/>
          <w:szCs w:val="24"/>
        </w:rPr>
      </w:pPr>
    </w:p>
    <w:p w14:paraId="01718BD3" w14:textId="77777777" w:rsidR="000430A4" w:rsidRPr="005A7A08" w:rsidRDefault="000430A4" w:rsidP="000430A4">
      <w:pPr>
        <w:jc w:val="center"/>
        <w:rPr>
          <w:rFonts w:ascii="Times New Roman" w:eastAsia="Times New Roman" w:hAnsi="Times New Roman" w:cs="Times New Roman"/>
          <w:b/>
          <w:bCs/>
          <w:sz w:val="24"/>
          <w:szCs w:val="24"/>
        </w:rPr>
      </w:pPr>
      <w:r w:rsidRPr="005A7A08">
        <w:rPr>
          <w:rFonts w:ascii="Times New Roman" w:eastAsia="Times New Roman" w:hAnsi="Times New Roman" w:cs="Times New Roman"/>
          <w:b/>
          <w:bCs/>
          <w:sz w:val="24"/>
          <w:szCs w:val="24"/>
        </w:rPr>
        <w:t>Summary</w:t>
      </w:r>
    </w:p>
    <w:p w14:paraId="7C0DD40C" w14:textId="2799EBFB" w:rsidR="000430A4" w:rsidRPr="005A7A08" w:rsidRDefault="000430A4" w:rsidP="000430A4">
      <w:pPr>
        <w:rPr>
          <w:rFonts w:ascii="Times New Roman" w:eastAsia="Times New Roman" w:hAnsi="Times New Roman" w:cs="Times New Roman"/>
          <w:sz w:val="24"/>
          <w:szCs w:val="24"/>
          <w:lang w:val="en-US"/>
        </w:rPr>
      </w:pPr>
      <w:r w:rsidRPr="005A7A08">
        <w:rPr>
          <w:rFonts w:ascii="Times New Roman" w:eastAsia="Times New Roman" w:hAnsi="Times New Roman" w:cs="Times New Roman"/>
          <w:sz w:val="24"/>
          <w:szCs w:val="24"/>
        </w:rPr>
        <w:tab/>
      </w:r>
      <w:r w:rsidRPr="005A7A08">
        <w:rPr>
          <w:rFonts w:ascii="Times New Roman" w:eastAsia="Times New Roman" w:hAnsi="Times New Roman" w:cs="Times New Roman"/>
          <w:sz w:val="24"/>
          <w:szCs w:val="24"/>
          <w:lang w:val="en-US"/>
        </w:rPr>
        <w:t>The largest gain</w:t>
      </w:r>
      <w:r w:rsidR="00F029E2">
        <w:rPr>
          <w:rFonts w:ascii="Times New Roman" w:eastAsia="Times New Roman" w:hAnsi="Times New Roman" w:cs="Times New Roman"/>
          <w:sz w:val="24"/>
          <w:szCs w:val="24"/>
          <w:lang w:val="en-US"/>
        </w:rPr>
        <w:t>er</w:t>
      </w:r>
      <w:r w:rsidRPr="005A7A08">
        <w:rPr>
          <w:rFonts w:ascii="Times New Roman" w:eastAsia="Times New Roman" w:hAnsi="Times New Roman" w:cs="Times New Roman"/>
          <w:sz w:val="24"/>
          <w:szCs w:val="24"/>
          <w:lang w:val="en-US"/>
        </w:rPr>
        <w:t xml:space="preserve"> on the HSI this week was </w:t>
      </w:r>
      <w:proofErr w:type="spellStart"/>
      <w:r w:rsidRPr="005A7A08">
        <w:rPr>
          <w:rFonts w:ascii="Times New Roman" w:eastAsia="Times New Roman" w:hAnsi="Times New Roman" w:cs="Times New Roman"/>
          <w:sz w:val="24"/>
          <w:szCs w:val="24"/>
          <w:lang w:val="en-US"/>
        </w:rPr>
        <w:t>ImmuCell</w:t>
      </w:r>
      <w:proofErr w:type="spellEnd"/>
      <w:r w:rsidRPr="005A7A08">
        <w:rPr>
          <w:rFonts w:ascii="Times New Roman" w:eastAsia="Times New Roman" w:hAnsi="Times New Roman" w:cs="Times New Roman"/>
          <w:sz w:val="24"/>
          <w:szCs w:val="24"/>
          <w:lang w:val="en-US"/>
        </w:rPr>
        <w:t xml:space="preserve"> Corporation (ICCC: NASDAQ). </w:t>
      </w:r>
      <w:proofErr w:type="spellStart"/>
      <w:r w:rsidRPr="005A7A08">
        <w:rPr>
          <w:rFonts w:ascii="Times New Roman" w:eastAsia="Times New Roman" w:hAnsi="Times New Roman" w:cs="Times New Roman"/>
          <w:sz w:val="24"/>
          <w:szCs w:val="24"/>
          <w:lang w:val="en-US"/>
        </w:rPr>
        <w:t>ImmuCell</w:t>
      </w:r>
      <w:proofErr w:type="spellEnd"/>
      <w:r w:rsidRPr="005A7A08">
        <w:rPr>
          <w:rFonts w:ascii="Times New Roman" w:eastAsia="Times New Roman" w:hAnsi="Times New Roman" w:cs="Times New Roman"/>
          <w:sz w:val="24"/>
          <w:szCs w:val="24"/>
          <w:lang w:val="en-US"/>
        </w:rPr>
        <w:t xml:space="preserve"> increased from $9.80 to $10.75, or 9.69%. On Monday, October 12th, the Portland-based animal health company announced preliminary third-quarter product sales of $8.0 million, a 46% increase over the same quarter last year. Domestic sales grew 29%, and sales for the first nine months of the year reached $25.6 million, up 28%. Growth came from across the product line, with Tri-Shield sales up 51% and Dual-Force sales up 36%. CEO Olivier Boekhorst credited the company’s larger sales team and an improved ability to reliably manufacture product to meet customer demand, after production backlogs in earlier periods. Management also noted that the comparison was helped by unusually weak sales in the third quarter of 2025. Broad-based growth, paired with more dependable production, may have given investors more confidence in the company’s recovery ahead of its full earnings call on November 13th. The second largest gain on the HSI this week was from Darden Restaurants, Inc. (DRI: NYSE). Darden saw an increase in price from $197.66 to $216.35, a percentage increase of 9.46%.</w:t>
      </w:r>
    </w:p>
    <w:p w14:paraId="398CCB9E" w14:textId="56FEC2D7" w:rsidR="000430A4" w:rsidRDefault="000430A4" w:rsidP="000430A4">
      <w:pPr>
        <w:ind w:firstLine="720"/>
        <w:rPr>
          <w:rFonts w:ascii="Times New Roman" w:eastAsia="Times New Roman" w:hAnsi="Times New Roman" w:cs="Times New Roman"/>
          <w:sz w:val="24"/>
          <w:szCs w:val="24"/>
          <w:lang w:val="en-US"/>
        </w:rPr>
      </w:pPr>
      <w:r w:rsidRPr="005A7A08">
        <w:rPr>
          <w:rFonts w:ascii="Times New Roman" w:eastAsia="Times New Roman" w:hAnsi="Times New Roman" w:cs="Times New Roman"/>
          <w:sz w:val="24"/>
          <w:szCs w:val="24"/>
          <w:lang w:val="en-US"/>
        </w:rPr>
        <w:t xml:space="preserve">The largest loss on the HSI this week was from Bank of America Corporation (BAC: NYSE). Bank of America’s share price dropped from $54.32 to $51.23, a percentage </w:t>
      </w:r>
      <w:r w:rsidR="00C13FB2">
        <w:rPr>
          <w:rFonts w:ascii="Times New Roman" w:eastAsia="Times New Roman" w:hAnsi="Times New Roman" w:cs="Times New Roman"/>
          <w:sz w:val="24"/>
          <w:szCs w:val="24"/>
          <w:lang w:val="en-US"/>
        </w:rPr>
        <w:t>decrease</w:t>
      </w:r>
      <w:r w:rsidR="00C13FB2" w:rsidRPr="005A7A08">
        <w:rPr>
          <w:rFonts w:ascii="Times New Roman" w:eastAsia="Times New Roman" w:hAnsi="Times New Roman" w:cs="Times New Roman"/>
          <w:sz w:val="24"/>
          <w:szCs w:val="24"/>
          <w:lang w:val="en-US"/>
        </w:rPr>
        <w:t xml:space="preserve"> </w:t>
      </w:r>
      <w:r w:rsidRPr="005A7A08">
        <w:rPr>
          <w:rFonts w:ascii="Times New Roman" w:eastAsia="Times New Roman" w:hAnsi="Times New Roman" w:cs="Times New Roman"/>
          <w:sz w:val="24"/>
          <w:szCs w:val="24"/>
          <w:lang w:val="en-US"/>
        </w:rPr>
        <w:t>of 5.69%. On Tuesday, October 13th, the U.S. Treasury Department hit Bank of America with a $1.2 billion penalty for violating anti-money laundering and sanctions laws. It is the third-largest penalty in the Treasury’s history. Regulators said the bank failed to report more than $5 billion in suspicious transactions on time, including activity tied to Chinese money laundering networks. They also said it had effectively outsourced much of its compliance work to third parties. The bank admitted it willfully violated the Bank Secrecy Act. The next morning Bank of America reported third-quarter earnings, and the penalty cut its earnings per share by $0.17. Net income fell 17% from the prior year, while adjusted earnings and revenue both came in below analyst estimates. Shares of JPMorgan Chase and Wells Fargo barely moved that day, which suggests investors may have been reacting to issues specific to Bank of America. Those issues include questions about how strong its compliance controls are and what the penalty means for profits. The second largest loss on the HSI this week was from PENN Entertainment, Inc. (PENN: NASDAQ). PENN saw a decrease in price from $15.48 to $14.94, a percentage decrease of 3.49%.</w:t>
      </w:r>
    </w:p>
    <w:p w14:paraId="02FDE5D0" w14:textId="77777777" w:rsidR="000B6A2F" w:rsidRPr="005A7A08" w:rsidRDefault="000B6A2F" w:rsidP="000430A4">
      <w:pPr>
        <w:ind w:firstLine="720"/>
        <w:rPr>
          <w:rFonts w:ascii="Times New Roman" w:eastAsia="Times New Roman" w:hAnsi="Times New Roman" w:cs="Times New Roman"/>
          <w:sz w:val="24"/>
          <w:szCs w:val="24"/>
          <w:lang w:val="en-US"/>
        </w:rPr>
      </w:pPr>
    </w:p>
    <w:p w14:paraId="696C4A22" w14:textId="77777777" w:rsidR="000430A4" w:rsidRPr="00045B69" w:rsidRDefault="000430A4" w:rsidP="000430A4">
      <w:pPr>
        <w:rPr>
          <w:rFonts w:ascii="Times New Roman" w:eastAsia="Times New Roman" w:hAnsi="Times New Roman" w:cs="Times New Roman"/>
          <w:b/>
          <w:bCs/>
          <w:sz w:val="24"/>
          <w:szCs w:val="24"/>
          <w:lang w:val="en-US"/>
        </w:rPr>
      </w:pPr>
    </w:p>
    <w:p w14:paraId="7A64DD1B" w14:textId="77777777" w:rsidR="000430A4" w:rsidRPr="00045B69" w:rsidRDefault="000430A4" w:rsidP="000430A4">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lastRenderedPageBreak/>
        <w:t>Overview</w:t>
      </w:r>
    </w:p>
    <w:p w14:paraId="0A833E16" w14:textId="77777777" w:rsidR="000430A4" w:rsidRPr="00045B69" w:rsidRDefault="000430A4" w:rsidP="000430A4">
      <w:pPr>
        <w:ind w:firstLine="720"/>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The HSI was developed by Marie Kenney, while a student at Husson University, in consultation with Associate Professor J. Douglas Wellington. The index is currently being tracked and analyzed by Husson student Cooper Grondin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67F18D69" w14:textId="77777777" w:rsidR="000430A4" w:rsidRPr="002F53BC" w:rsidRDefault="000430A4" w:rsidP="000430A4">
      <w:pPr>
        <w:rPr>
          <w:rFonts w:ascii="Times New Roman" w:eastAsia="Times New Roman" w:hAnsi="Times New Roman" w:cs="Times New Roman"/>
        </w:rPr>
      </w:pPr>
    </w:p>
    <w:p w14:paraId="38CAD08F" w14:textId="77777777" w:rsidR="000430A4" w:rsidRPr="002F53BC" w:rsidRDefault="000430A4" w:rsidP="000430A4">
      <w:pPr>
        <w:rPr>
          <w:rFonts w:ascii="Times New Roman" w:eastAsia="Times New Roman" w:hAnsi="Times New Roman" w:cs="Times New Roman"/>
        </w:rPr>
      </w:pPr>
    </w:p>
    <w:p w14:paraId="57AFC880" w14:textId="77777777" w:rsidR="000430A4" w:rsidRPr="002F53BC" w:rsidRDefault="000430A4" w:rsidP="000430A4">
      <w:pPr>
        <w:rPr>
          <w:rFonts w:ascii="Times New Roman" w:eastAsia="Times New Roman" w:hAnsi="Times New Roman" w:cs="Times New Roman"/>
        </w:rPr>
      </w:pPr>
    </w:p>
    <w:p w14:paraId="0DABCC71" w14:textId="77777777" w:rsidR="000430A4" w:rsidRPr="002F53BC" w:rsidRDefault="000430A4" w:rsidP="000430A4">
      <w:pPr>
        <w:rPr>
          <w:rFonts w:ascii="Times New Roman" w:eastAsia="Times New Roman" w:hAnsi="Times New Roman" w:cs="Times New Roman"/>
        </w:rPr>
      </w:pPr>
    </w:p>
    <w:p w14:paraId="12CEBAC8" w14:textId="77777777" w:rsidR="000430A4" w:rsidRPr="002F53BC" w:rsidRDefault="000430A4" w:rsidP="000430A4">
      <w:pPr>
        <w:rPr>
          <w:rFonts w:ascii="Times New Roman" w:eastAsia="Times New Roman" w:hAnsi="Times New Roman" w:cs="Times New Roman"/>
        </w:rPr>
      </w:pPr>
    </w:p>
    <w:p w14:paraId="1FE0592F" w14:textId="77777777" w:rsidR="000430A4" w:rsidRPr="002F53BC" w:rsidRDefault="000430A4" w:rsidP="000430A4">
      <w:pPr>
        <w:rPr>
          <w:rFonts w:ascii="Times New Roman" w:eastAsia="Times New Roman" w:hAnsi="Times New Roman" w:cs="Times New Roman"/>
        </w:rPr>
      </w:pPr>
    </w:p>
    <w:p w14:paraId="7CCA2155" w14:textId="77777777" w:rsidR="000430A4" w:rsidRPr="002F53BC" w:rsidRDefault="000430A4" w:rsidP="000430A4">
      <w:pPr>
        <w:rPr>
          <w:rFonts w:ascii="Times New Roman" w:eastAsia="Times New Roman" w:hAnsi="Times New Roman" w:cs="Times New Roman"/>
        </w:rPr>
      </w:pPr>
    </w:p>
    <w:p w14:paraId="716DC219" w14:textId="77777777" w:rsidR="000430A4" w:rsidRPr="002F53BC" w:rsidRDefault="000430A4" w:rsidP="000430A4">
      <w:pPr>
        <w:rPr>
          <w:rFonts w:ascii="Times New Roman" w:eastAsia="Times New Roman" w:hAnsi="Times New Roman" w:cs="Times New Roman"/>
        </w:rPr>
      </w:pPr>
    </w:p>
    <w:p w14:paraId="1ABC1B9E" w14:textId="77777777" w:rsidR="000430A4" w:rsidRPr="002F53BC" w:rsidRDefault="000430A4" w:rsidP="000430A4">
      <w:pPr>
        <w:rPr>
          <w:rFonts w:ascii="Times New Roman" w:eastAsia="Times New Roman" w:hAnsi="Times New Roman" w:cs="Times New Roman"/>
        </w:rPr>
      </w:pPr>
    </w:p>
    <w:p w14:paraId="3D7C2A7B" w14:textId="77777777" w:rsidR="000430A4" w:rsidRPr="002F53BC" w:rsidRDefault="000430A4" w:rsidP="000430A4">
      <w:pPr>
        <w:rPr>
          <w:rFonts w:ascii="Times New Roman" w:eastAsia="Times New Roman" w:hAnsi="Times New Roman" w:cs="Times New Roman"/>
        </w:rPr>
      </w:pPr>
    </w:p>
    <w:p w14:paraId="5F767F5B" w14:textId="77777777" w:rsidR="000430A4" w:rsidRPr="002F53BC" w:rsidRDefault="000430A4" w:rsidP="000430A4">
      <w:pPr>
        <w:rPr>
          <w:rFonts w:ascii="Times New Roman" w:eastAsia="Times New Roman" w:hAnsi="Times New Roman" w:cs="Times New Roman"/>
        </w:rPr>
      </w:pPr>
    </w:p>
    <w:p w14:paraId="6000BB9F" w14:textId="77777777" w:rsidR="000430A4" w:rsidRPr="002F53BC" w:rsidRDefault="000430A4" w:rsidP="000430A4">
      <w:pPr>
        <w:rPr>
          <w:rFonts w:ascii="Times New Roman" w:eastAsia="Times New Roman" w:hAnsi="Times New Roman" w:cs="Times New Roman"/>
        </w:rPr>
      </w:pPr>
    </w:p>
    <w:p w14:paraId="172A9C61" w14:textId="77777777" w:rsidR="000430A4" w:rsidRPr="002F53BC" w:rsidRDefault="000430A4" w:rsidP="000430A4">
      <w:pPr>
        <w:rPr>
          <w:rFonts w:ascii="Times New Roman" w:eastAsia="Times New Roman" w:hAnsi="Times New Roman" w:cs="Times New Roman"/>
        </w:rPr>
      </w:pPr>
    </w:p>
    <w:p w14:paraId="58BDF201" w14:textId="77777777" w:rsidR="000430A4" w:rsidRPr="002F53BC" w:rsidRDefault="000430A4" w:rsidP="000430A4">
      <w:pPr>
        <w:rPr>
          <w:rFonts w:ascii="Times New Roman" w:eastAsia="Times New Roman" w:hAnsi="Times New Roman" w:cs="Times New Roman"/>
        </w:rPr>
      </w:pPr>
    </w:p>
    <w:p w14:paraId="09F9F61F" w14:textId="77777777" w:rsidR="000430A4" w:rsidRPr="002F53BC" w:rsidRDefault="000430A4" w:rsidP="000430A4">
      <w:pPr>
        <w:rPr>
          <w:rFonts w:ascii="Times New Roman" w:eastAsia="Times New Roman" w:hAnsi="Times New Roman" w:cs="Times New Roman"/>
        </w:rPr>
      </w:pPr>
    </w:p>
    <w:p w14:paraId="5563AA00" w14:textId="77777777" w:rsidR="000430A4" w:rsidRPr="002F53BC" w:rsidRDefault="000430A4" w:rsidP="000430A4">
      <w:pPr>
        <w:rPr>
          <w:rFonts w:ascii="Times New Roman" w:eastAsia="Times New Roman" w:hAnsi="Times New Roman" w:cs="Times New Roman"/>
        </w:rPr>
      </w:pPr>
    </w:p>
    <w:p w14:paraId="6B7D9851" w14:textId="77777777" w:rsidR="000430A4" w:rsidRPr="002F53BC" w:rsidRDefault="000430A4" w:rsidP="000430A4">
      <w:pPr>
        <w:rPr>
          <w:rFonts w:ascii="Times New Roman" w:eastAsia="Times New Roman" w:hAnsi="Times New Roman" w:cs="Times New Roman"/>
        </w:rPr>
      </w:pPr>
    </w:p>
    <w:p w14:paraId="4C493EDB" w14:textId="77777777" w:rsidR="000430A4" w:rsidRPr="002F53BC" w:rsidRDefault="000430A4" w:rsidP="000430A4">
      <w:pPr>
        <w:rPr>
          <w:rFonts w:ascii="Times New Roman" w:eastAsia="Times New Roman" w:hAnsi="Times New Roman" w:cs="Times New Roman"/>
        </w:rPr>
      </w:pPr>
    </w:p>
    <w:p w14:paraId="30FD32E6" w14:textId="77777777" w:rsidR="000430A4" w:rsidRPr="002F53BC" w:rsidRDefault="000430A4" w:rsidP="000430A4">
      <w:pPr>
        <w:rPr>
          <w:rFonts w:ascii="Times New Roman" w:eastAsia="Times New Roman" w:hAnsi="Times New Roman" w:cs="Times New Roman"/>
        </w:rPr>
      </w:pPr>
    </w:p>
    <w:p w14:paraId="7C966523" w14:textId="77777777" w:rsidR="000430A4" w:rsidRPr="002F53BC" w:rsidRDefault="000430A4" w:rsidP="000430A4">
      <w:pPr>
        <w:rPr>
          <w:rFonts w:ascii="Times New Roman" w:eastAsia="Times New Roman" w:hAnsi="Times New Roman" w:cs="Times New Roman"/>
        </w:rPr>
      </w:pPr>
    </w:p>
    <w:p w14:paraId="30B2E9C6" w14:textId="77777777" w:rsidR="000430A4" w:rsidRPr="002F53BC" w:rsidRDefault="000430A4" w:rsidP="000430A4">
      <w:pPr>
        <w:rPr>
          <w:rFonts w:ascii="Times New Roman" w:eastAsia="Times New Roman" w:hAnsi="Times New Roman" w:cs="Times New Roman"/>
        </w:rPr>
      </w:pPr>
    </w:p>
    <w:p w14:paraId="5ABF26B9" w14:textId="77777777" w:rsidR="000430A4" w:rsidRPr="002F53BC" w:rsidRDefault="000430A4" w:rsidP="000430A4">
      <w:pPr>
        <w:rPr>
          <w:rFonts w:ascii="Times New Roman" w:eastAsia="Times New Roman" w:hAnsi="Times New Roman" w:cs="Times New Roman"/>
        </w:rPr>
      </w:pPr>
    </w:p>
    <w:p w14:paraId="723D6038" w14:textId="77777777" w:rsidR="000430A4" w:rsidRPr="002F53BC" w:rsidRDefault="000430A4" w:rsidP="000430A4">
      <w:pPr>
        <w:rPr>
          <w:rFonts w:ascii="Times New Roman" w:eastAsia="Times New Roman" w:hAnsi="Times New Roman" w:cs="Times New Roman"/>
        </w:rPr>
      </w:pPr>
    </w:p>
    <w:p w14:paraId="37A13C74" w14:textId="77777777" w:rsidR="000430A4" w:rsidRPr="002F53BC" w:rsidRDefault="000430A4" w:rsidP="000430A4">
      <w:pPr>
        <w:rPr>
          <w:rFonts w:ascii="Times New Roman" w:eastAsia="Times New Roman" w:hAnsi="Times New Roman" w:cs="Times New Roman"/>
        </w:rPr>
      </w:pPr>
    </w:p>
    <w:p w14:paraId="3F990E93" w14:textId="77777777" w:rsidR="000430A4" w:rsidRPr="002F53BC" w:rsidRDefault="000430A4" w:rsidP="000430A4">
      <w:pPr>
        <w:rPr>
          <w:rFonts w:ascii="Times New Roman" w:eastAsia="Times New Roman" w:hAnsi="Times New Roman" w:cs="Times New Roman"/>
        </w:rPr>
      </w:pPr>
    </w:p>
    <w:p w14:paraId="6DD0EE79" w14:textId="77777777" w:rsidR="000430A4" w:rsidRDefault="000430A4" w:rsidP="000430A4">
      <w:pPr>
        <w:rPr>
          <w:rFonts w:ascii="Times New Roman" w:eastAsia="Times New Roman" w:hAnsi="Times New Roman" w:cs="Times New Roman"/>
        </w:rPr>
      </w:pPr>
    </w:p>
    <w:p w14:paraId="03598655" w14:textId="77777777" w:rsidR="000430A4" w:rsidRPr="002F53BC" w:rsidRDefault="000430A4" w:rsidP="000430A4">
      <w:pPr>
        <w:rPr>
          <w:rFonts w:ascii="Times New Roman" w:eastAsia="Times New Roman" w:hAnsi="Times New Roman" w:cs="Times New Roman"/>
        </w:rPr>
      </w:pPr>
    </w:p>
    <w:p w14:paraId="1C830D6C" w14:textId="77777777" w:rsidR="000430A4" w:rsidRPr="002F53BC" w:rsidRDefault="000430A4" w:rsidP="000430A4">
      <w:pPr>
        <w:rPr>
          <w:rFonts w:ascii="Times New Roman" w:eastAsia="Times New Roman" w:hAnsi="Times New Roman" w:cs="Times New Roman"/>
        </w:rPr>
      </w:pPr>
    </w:p>
    <w:p w14:paraId="6AA6B7F5" w14:textId="77777777" w:rsidR="000430A4" w:rsidRPr="002F53BC" w:rsidRDefault="000430A4" w:rsidP="000430A4">
      <w:pPr>
        <w:rPr>
          <w:rFonts w:ascii="Times New Roman" w:eastAsia="Times New Roman" w:hAnsi="Times New Roman" w:cs="Times New Roman"/>
        </w:rPr>
      </w:pPr>
    </w:p>
    <w:p w14:paraId="18EC1609" w14:textId="77777777" w:rsidR="000430A4" w:rsidRDefault="000430A4" w:rsidP="000430A4">
      <w:pPr>
        <w:rPr>
          <w:rFonts w:ascii="Times New Roman" w:eastAsia="Times New Roman" w:hAnsi="Times New Roman" w:cs="Times New Roman"/>
        </w:rPr>
      </w:pPr>
    </w:p>
    <w:p w14:paraId="34161D8E" w14:textId="77777777" w:rsidR="000430A4" w:rsidRPr="002F53BC" w:rsidRDefault="000430A4" w:rsidP="000430A4">
      <w:pPr>
        <w:rPr>
          <w:rFonts w:ascii="Times New Roman" w:eastAsia="Times New Roman" w:hAnsi="Times New Roman" w:cs="Times New Roman"/>
        </w:rPr>
      </w:pPr>
    </w:p>
    <w:p w14:paraId="4F789299" w14:textId="77777777" w:rsidR="000430A4" w:rsidRPr="002F53BC" w:rsidRDefault="000430A4" w:rsidP="000430A4">
      <w:pPr>
        <w:rPr>
          <w:rFonts w:ascii="Times New Roman" w:eastAsia="Times New Roman" w:hAnsi="Times New Roman" w:cs="Times New Roman"/>
        </w:rPr>
      </w:pPr>
    </w:p>
    <w:p w14:paraId="5F9CD265" w14:textId="77777777" w:rsidR="000430A4" w:rsidRDefault="000430A4" w:rsidP="000430A4">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lastRenderedPageBreak/>
        <w:t>References</w:t>
      </w:r>
    </w:p>
    <w:p w14:paraId="1E404C3A" w14:textId="77777777" w:rsidR="000430A4" w:rsidRPr="008E4926" w:rsidRDefault="000430A4" w:rsidP="000430A4">
      <w:pPr>
        <w:ind w:firstLine="720"/>
        <w:rPr>
          <w:rFonts w:ascii="Times New Roman" w:eastAsia="Times New Roman" w:hAnsi="Times New Roman" w:cs="Times New Roman"/>
          <w:sz w:val="24"/>
          <w:szCs w:val="24"/>
          <w:lang w:val="en-US"/>
        </w:rPr>
      </w:pPr>
      <w:proofErr w:type="spellStart"/>
      <w:r w:rsidRPr="008E4926">
        <w:rPr>
          <w:rFonts w:ascii="Times New Roman" w:eastAsia="Times New Roman" w:hAnsi="Times New Roman" w:cs="Times New Roman"/>
          <w:sz w:val="24"/>
          <w:szCs w:val="24"/>
          <w:lang w:val="en-US"/>
        </w:rPr>
        <w:t>ImmuCell</w:t>
      </w:r>
      <w:proofErr w:type="spellEnd"/>
      <w:r w:rsidRPr="008E4926">
        <w:rPr>
          <w:rFonts w:ascii="Times New Roman" w:eastAsia="Times New Roman" w:hAnsi="Times New Roman" w:cs="Times New Roman"/>
          <w:sz w:val="24"/>
          <w:szCs w:val="24"/>
          <w:lang w:val="en-US"/>
        </w:rPr>
        <w:t xml:space="preserve"> Corporation. (2026, October 12). </w:t>
      </w:r>
      <w:proofErr w:type="spellStart"/>
      <w:r w:rsidRPr="008E4926">
        <w:rPr>
          <w:rFonts w:ascii="Times New Roman" w:eastAsia="Times New Roman" w:hAnsi="Times New Roman" w:cs="Times New Roman"/>
          <w:sz w:val="24"/>
          <w:szCs w:val="24"/>
          <w:lang w:val="en-US"/>
        </w:rPr>
        <w:t>ImmuCell</w:t>
      </w:r>
      <w:proofErr w:type="spellEnd"/>
      <w:r w:rsidRPr="008E4926">
        <w:rPr>
          <w:rFonts w:ascii="Times New Roman" w:eastAsia="Times New Roman" w:hAnsi="Times New Roman" w:cs="Times New Roman"/>
          <w:sz w:val="24"/>
          <w:szCs w:val="24"/>
          <w:lang w:val="en-US"/>
        </w:rPr>
        <w:t xml:space="preserve"> announces a 46% increase in product sales in quarter three of 2026, based on preliminary, unaudited sales results. </w:t>
      </w:r>
      <w:r w:rsidRPr="008E4926">
        <w:rPr>
          <w:rFonts w:ascii="Times New Roman" w:eastAsia="Times New Roman" w:hAnsi="Times New Roman" w:cs="Times New Roman"/>
          <w:i/>
          <w:iCs/>
          <w:sz w:val="24"/>
          <w:szCs w:val="24"/>
          <w:lang w:val="en-US"/>
        </w:rPr>
        <w:t>GlobeNewswire</w:t>
      </w:r>
      <w:r w:rsidRPr="008E4926">
        <w:rPr>
          <w:rFonts w:ascii="Times New Roman" w:eastAsia="Times New Roman" w:hAnsi="Times New Roman" w:cs="Times New Roman"/>
          <w:sz w:val="24"/>
          <w:szCs w:val="24"/>
          <w:lang w:val="en-US"/>
        </w:rPr>
        <w:t xml:space="preserve">. </w:t>
      </w:r>
      <w:hyperlink r:id="rId4" w:history="1">
        <w:r w:rsidRPr="008E4926">
          <w:rPr>
            <w:rStyle w:val="Hyperlink"/>
            <w:rFonts w:ascii="Times New Roman" w:eastAsia="Times New Roman" w:hAnsi="Times New Roman" w:cs="Times New Roman"/>
            <w:sz w:val="24"/>
            <w:szCs w:val="24"/>
            <w:lang w:val="en-US"/>
          </w:rPr>
          <w:t>https://www.stocktitan.net/news/ICCC/immu-cell-announces-a-46-increase-in-product-sales-in-quarter-three-6gyhqhcvwj4n.html</w:t>
        </w:r>
      </w:hyperlink>
    </w:p>
    <w:p w14:paraId="23B91740" w14:textId="77777777" w:rsidR="000430A4" w:rsidRPr="008E4926" w:rsidRDefault="000430A4" w:rsidP="000430A4">
      <w:pPr>
        <w:ind w:firstLine="720"/>
        <w:rPr>
          <w:rFonts w:ascii="Times New Roman" w:eastAsia="Times New Roman" w:hAnsi="Times New Roman" w:cs="Times New Roman"/>
          <w:sz w:val="24"/>
          <w:szCs w:val="24"/>
          <w:lang w:val="en-US"/>
        </w:rPr>
      </w:pPr>
      <w:proofErr w:type="spellStart"/>
      <w:r w:rsidRPr="008E4926">
        <w:rPr>
          <w:rFonts w:ascii="Times New Roman" w:eastAsia="Times New Roman" w:hAnsi="Times New Roman" w:cs="Times New Roman"/>
          <w:sz w:val="24"/>
          <w:szCs w:val="24"/>
          <w:lang w:val="en-US"/>
        </w:rPr>
        <w:t>Moadel</w:t>
      </w:r>
      <w:proofErr w:type="spellEnd"/>
      <w:r w:rsidRPr="008E4926">
        <w:rPr>
          <w:rFonts w:ascii="Times New Roman" w:eastAsia="Times New Roman" w:hAnsi="Times New Roman" w:cs="Times New Roman"/>
          <w:sz w:val="24"/>
          <w:szCs w:val="24"/>
          <w:lang w:val="en-US"/>
        </w:rPr>
        <w:t xml:space="preserve">, D. (2026, October 14). Bank of America falls 5% as $1.2B money laundering penalty drives earnings </w:t>
      </w:r>
      <w:proofErr w:type="gramStart"/>
      <w:r w:rsidRPr="008E4926">
        <w:rPr>
          <w:rFonts w:ascii="Times New Roman" w:eastAsia="Times New Roman" w:hAnsi="Times New Roman" w:cs="Times New Roman"/>
          <w:sz w:val="24"/>
          <w:szCs w:val="24"/>
          <w:lang w:val="en-US"/>
        </w:rPr>
        <w:t>miss,</w:t>
      </w:r>
      <w:proofErr w:type="gramEnd"/>
      <w:r w:rsidRPr="008E4926">
        <w:rPr>
          <w:rFonts w:ascii="Times New Roman" w:eastAsia="Times New Roman" w:hAnsi="Times New Roman" w:cs="Times New Roman"/>
          <w:sz w:val="24"/>
          <w:szCs w:val="24"/>
          <w:lang w:val="en-US"/>
        </w:rPr>
        <w:t xml:space="preserve"> JPMorgan Chase and Wells Fargo hold steady. </w:t>
      </w:r>
      <w:r w:rsidRPr="008E4926">
        <w:rPr>
          <w:rFonts w:ascii="Times New Roman" w:eastAsia="Times New Roman" w:hAnsi="Times New Roman" w:cs="Times New Roman"/>
          <w:i/>
          <w:iCs/>
          <w:sz w:val="24"/>
          <w:szCs w:val="24"/>
          <w:lang w:val="en-US"/>
        </w:rPr>
        <w:t>24/7 Wall St.</w:t>
      </w:r>
      <w:r w:rsidRPr="008E4926">
        <w:rPr>
          <w:rFonts w:ascii="Times New Roman" w:eastAsia="Times New Roman" w:hAnsi="Times New Roman" w:cs="Times New Roman"/>
          <w:sz w:val="24"/>
          <w:szCs w:val="24"/>
          <w:lang w:val="en-US"/>
        </w:rPr>
        <w:t xml:space="preserve"> </w:t>
      </w:r>
      <w:hyperlink r:id="rId5" w:history="1">
        <w:r w:rsidRPr="008E4926">
          <w:rPr>
            <w:rStyle w:val="Hyperlink"/>
            <w:rFonts w:ascii="Times New Roman" w:eastAsia="Times New Roman" w:hAnsi="Times New Roman" w:cs="Times New Roman"/>
            <w:sz w:val="24"/>
            <w:szCs w:val="24"/>
            <w:lang w:val="en-US"/>
          </w:rPr>
          <w:t>https://247wallst.com/investing/2026/10/14/bank-of-america-falls-5-as-1-2b-money-laundering-penalty-drives-earnings-miss-jpmorgan-chase-and-wells-fargo-hold-steady/</w:t>
        </w:r>
      </w:hyperlink>
    </w:p>
    <w:p w14:paraId="0EBDC559" w14:textId="77777777" w:rsidR="000430A4" w:rsidRPr="008E4926" w:rsidRDefault="000430A4" w:rsidP="000430A4">
      <w:pPr>
        <w:ind w:firstLine="720"/>
        <w:rPr>
          <w:rFonts w:ascii="Times New Roman" w:eastAsia="Times New Roman" w:hAnsi="Times New Roman" w:cs="Times New Roman"/>
          <w:sz w:val="24"/>
          <w:szCs w:val="24"/>
          <w:lang w:val="en-US"/>
        </w:rPr>
      </w:pPr>
      <w:r w:rsidRPr="008E4926">
        <w:rPr>
          <w:rFonts w:ascii="Times New Roman" w:eastAsia="Times New Roman" w:hAnsi="Times New Roman" w:cs="Times New Roman"/>
          <w:sz w:val="24"/>
          <w:szCs w:val="24"/>
          <w:lang w:val="en-US"/>
        </w:rPr>
        <w:t xml:space="preserve">Wiseman, P., &amp; Amiri, F. (2026, October 14). U.S. hits Bank of America with $1.2 billion fine, saying it violated money laundering and sanctions laws. </w:t>
      </w:r>
      <w:r w:rsidRPr="008E4926">
        <w:rPr>
          <w:rFonts w:ascii="Times New Roman" w:eastAsia="Times New Roman" w:hAnsi="Times New Roman" w:cs="Times New Roman"/>
          <w:i/>
          <w:iCs/>
          <w:sz w:val="24"/>
          <w:szCs w:val="24"/>
          <w:lang w:val="en-US"/>
        </w:rPr>
        <w:t>PBS News</w:t>
      </w:r>
      <w:r w:rsidRPr="008E4926">
        <w:rPr>
          <w:rFonts w:ascii="Times New Roman" w:eastAsia="Times New Roman" w:hAnsi="Times New Roman" w:cs="Times New Roman"/>
          <w:sz w:val="24"/>
          <w:szCs w:val="24"/>
          <w:lang w:val="en-US"/>
        </w:rPr>
        <w:t xml:space="preserve">. </w:t>
      </w:r>
      <w:hyperlink r:id="rId6" w:history="1">
        <w:r w:rsidRPr="008E4926">
          <w:rPr>
            <w:rStyle w:val="Hyperlink"/>
            <w:rFonts w:ascii="Times New Roman" w:eastAsia="Times New Roman" w:hAnsi="Times New Roman" w:cs="Times New Roman"/>
            <w:sz w:val="24"/>
            <w:szCs w:val="24"/>
            <w:lang w:val="en-US"/>
          </w:rPr>
          <w:t>https://www.pbs.org/newshour/economy/u-s-hits-bank-of-america-with-1-2-billion-fine-saying-it-violated-money-laundering-and-sanctions-laws</w:t>
        </w:r>
      </w:hyperlink>
    </w:p>
    <w:p w14:paraId="2148ABAB" w14:textId="77777777" w:rsidR="000430A4" w:rsidRPr="00763145" w:rsidRDefault="000430A4" w:rsidP="000430A4">
      <w:pPr>
        <w:jc w:val="center"/>
        <w:rPr>
          <w:rFonts w:ascii="Times New Roman" w:eastAsia="Times New Roman" w:hAnsi="Times New Roman" w:cs="Times New Roman"/>
          <w:b/>
          <w:bCs/>
          <w:lang w:val="en-US"/>
        </w:rPr>
      </w:pPr>
    </w:p>
    <w:p w14:paraId="7BEE8BC5" w14:textId="77777777" w:rsidR="000430A4" w:rsidRPr="002F53BC" w:rsidRDefault="000430A4" w:rsidP="000430A4">
      <w:pPr>
        <w:rPr>
          <w:rFonts w:ascii="Times New Roman" w:eastAsia="Times New Roman" w:hAnsi="Times New Roman" w:cs="Times New Roman"/>
        </w:rPr>
      </w:pPr>
    </w:p>
    <w:p w14:paraId="0974FDCE" w14:textId="77777777" w:rsidR="000430A4" w:rsidRPr="002F53BC" w:rsidRDefault="000430A4" w:rsidP="000430A4">
      <w:pPr>
        <w:rPr>
          <w:rFonts w:ascii="Times New Roman" w:eastAsia="Times New Roman" w:hAnsi="Times New Roman" w:cs="Times New Roman"/>
        </w:rPr>
      </w:pPr>
    </w:p>
    <w:p w14:paraId="6839776A" w14:textId="77777777" w:rsidR="000430A4" w:rsidRPr="002F53BC" w:rsidRDefault="000430A4" w:rsidP="000430A4">
      <w:pPr>
        <w:rPr>
          <w:rFonts w:ascii="Times New Roman" w:eastAsia="Times New Roman" w:hAnsi="Times New Roman" w:cs="Times New Roman"/>
        </w:rPr>
      </w:pPr>
    </w:p>
    <w:p w14:paraId="7FA70475" w14:textId="77777777" w:rsidR="000430A4" w:rsidRPr="002F53BC" w:rsidRDefault="000430A4" w:rsidP="000430A4">
      <w:pPr>
        <w:rPr>
          <w:rFonts w:ascii="Times New Roman" w:eastAsia="Times New Roman" w:hAnsi="Times New Roman" w:cs="Times New Roman"/>
        </w:rPr>
      </w:pPr>
    </w:p>
    <w:p w14:paraId="4562EC5F" w14:textId="77777777" w:rsidR="000430A4" w:rsidRPr="002F53BC" w:rsidRDefault="000430A4" w:rsidP="000430A4">
      <w:pPr>
        <w:rPr>
          <w:rFonts w:ascii="Times New Roman" w:eastAsia="Times New Roman" w:hAnsi="Times New Roman" w:cs="Times New Roman"/>
        </w:rPr>
      </w:pPr>
    </w:p>
    <w:p w14:paraId="7F12D9B1" w14:textId="77777777" w:rsidR="000430A4" w:rsidRPr="002F53BC" w:rsidRDefault="000430A4" w:rsidP="000430A4">
      <w:pPr>
        <w:rPr>
          <w:rFonts w:ascii="Times New Roman" w:eastAsia="Times New Roman" w:hAnsi="Times New Roman" w:cs="Times New Roman"/>
        </w:rPr>
      </w:pPr>
    </w:p>
    <w:p w14:paraId="11364BB2" w14:textId="77777777" w:rsidR="000430A4" w:rsidRPr="002F53BC" w:rsidRDefault="000430A4" w:rsidP="000430A4">
      <w:pPr>
        <w:rPr>
          <w:rFonts w:ascii="Times New Roman" w:eastAsia="Times New Roman" w:hAnsi="Times New Roman" w:cs="Times New Roman"/>
        </w:rPr>
      </w:pPr>
    </w:p>
    <w:p w14:paraId="6B02B0D2" w14:textId="77777777" w:rsidR="000430A4" w:rsidRPr="002F53BC" w:rsidRDefault="000430A4" w:rsidP="000430A4">
      <w:pPr>
        <w:rPr>
          <w:rFonts w:ascii="Times New Roman" w:eastAsia="Times New Roman" w:hAnsi="Times New Roman" w:cs="Times New Roman"/>
        </w:rPr>
      </w:pPr>
    </w:p>
    <w:p w14:paraId="61465B3A" w14:textId="77777777" w:rsidR="000430A4" w:rsidRPr="002F53BC" w:rsidRDefault="000430A4" w:rsidP="000430A4">
      <w:pPr>
        <w:rPr>
          <w:rFonts w:ascii="Times New Roman" w:eastAsia="Times New Roman" w:hAnsi="Times New Roman" w:cs="Times New Roman"/>
        </w:rPr>
      </w:pPr>
    </w:p>
    <w:p w14:paraId="6326B27C" w14:textId="77777777" w:rsidR="000430A4" w:rsidRPr="002F53BC" w:rsidRDefault="000430A4" w:rsidP="000430A4">
      <w:pPr>
        <w:rPr>
          <w:rFonts w:ascii="Times New Roman" w:eastAsia="Times New Roman" w:hAnsi="Times New Roman" w:cs="Times New Roman"/>
        </w:rPr>
      </w:pPr>
    </w:p>
    <w:p w14:paraId="5E9A26E5" w14:textId="77777777" w:rsidR="000430A4" w:rsidRPr="002F53BC" w:rsidRDefault="000430A4" w:rsidP="000430A4">
      <w:pPr>
        <w:rPr>
          <w:rFonts w:ascii="Times New Roman" w:eastAsia="Times New Roman" w:hAnsi="Times New Roman" w:cs="Times New Roman"/>
        </w:rPr>
      </w:pPr>
    </w:p>
    <w:p w14:paraId="5AD315F4" w14:textId="77777777" w:rsidR="000430A4" w:rsidRPr="002F53BC" w:rsidRDefault="000430A4" w:rsidP="000430A4">
      <w:pPr>
        <w:rPr>
          <w:rFonts w:ascii="Times New Roman" w:eastAsia="Times New Roman" w:hAnsi="Times New Roman" w:cs="Times New Roman"/>
        </w:rPr>
      </w:pPr>
    </w:p>
    <w:p w14:paraId="6EFE07A8" w14:textId="77777777" w:rsidR="000430A4" w:rsidRPr="002F53BC" w:rsidRDefault="000430A4" w:rsidP="000430A4">
      <w:pPr>
        <w:rPr>
          <w:rFonts w:ascii="Times New Roman" w:eastAsia="Times New Roman" w:hAnsi="Times New Roman" w:cs="Times New Roman"/>
        </w:rPr>
      </w:pPr>
    </w:p>
    <w:p w14:paraId="2278A5F4" w14:textId="77777777" w:rsidR="000430A4" w:rsidRPr="002F53BC" w:rsidRDefault="000430A4" w:rsidP="000430A4">
      <w:pPr>
        <w:rPr>
          <w:rFonts w:ascii="Times New Roman" w:eastAsia="Times New Roman" w:hAnsi="Times New Roman" w:cs="Times New Roman"/>
        </w:rPr>
      </w:pPr>
    </w:p>
    <w:p w14:paraId="0983471A" w14:textId="77777777" w:rsidR="000430A4" w:rsidRPr="002F53BC" w:rsidRDefault="000430A4" w:rsidP="000430A4">
      <w:pPr>
        <w:rPr>
          <w:rFonts w:ascii="Times New Roman" w:eastAsia="Times New Roman" w:hAnsi="Times New Roman" w:cs="Times New Roman"/>
        </w:rPr>
      </w:pPr>
    </w:p>
    <w:p w14:paraId="0C4B7289" w14:textId="77777777" w:rsidR="000430A4" w:rsidRPr="002F53BC" w:rsidRDefault="000430A4" w:rsidP="000430A4">
      <w:pPr>
        <w:rPr>
          <w:rFonts w:ascii="Times New Roman" w:eastAsia="Times New Roman" w:hAnsi="Times New Roman" w:cs="Times New Roman"/>
        </w:rPr>
      </w:pPr>
    </w:p>
    <w:p w14:paraId="4575AD30" w14:textId="77777777" w:rsidR="000430A4" w:rsidRPr="002F53BC" w:rsidRDefault="000430A4" w:rsidP="000430A4">
      <w:pPr>
        <w:rPr>
          <w:rFonts w:ascii="Times New Roman" w:eastAsia="Times New Roman" w:hAnsi="Times New Roman" w:cs="Times New Roman"/>
        </w:rPr>
      </w:pPr>
    </w:p>
    <w:p w14:paraId="4E81E5D9" w14:textId="77777777" w:rsidR="000430A4" w:rsidRPr="002F53BC" w:rsidRDefault="000430A4" w:rsidP="000430A4">
      <w:pPr>
        <w:rPr>
          <w:rFonts w:ascii="Times New Roman" w:eastAsia="Times New Roman" w:hAnsi="Times New Roman" w:cs="Times New Roman"/>
        </w:rPr>
      </w:pPr>
    </w:p>
    <w:p w14:paraId="685BA6BF" w14:textId="77777777" w:rsidR="000430A4" w:rsidRPr="002F53BC" w:rsidRDefault="000430A4" w:rsidP="000430A4">
      <w:pPr>
        <w:rPr>
          <w:rFonts w:ascii="Times New Roman" w:eastAsia="Times New Roman" w:hAnsi="Times New Roman" w:cs="Times New Roman"/>
        </w:rPr>
      </w:pPr>
    </w:p>
    <w:p w14:paraId="1F18E354" w14:textId="77777777" w:rsidR="000430A4" w:rsidRPr="002F53BC" w:rsidRDefault="000430A4" w:rsidP="000430A4">
      <w:pPr>
        <w:rPr>
          <w:rFonts w:ascii="Times New Roman" w:eastAsia="Times New Roman" w:hAnsi="Times New Roman" w:cs="Times New Roman"/>
        </w:rPr>
      </w:pPr>
    </w:p>
    <w:p w14:paraId="18D5BD3F" w14:textId="77777777" w:rsidR="000430A4" w:rsidRPr="002F53BC" w:rsidRDefault="000430A4" w:rsidP="000430A4">
      <w:pPr>
        <w:rPr>
          <w:rFonts w:ascii="Times New Roman" w:eastAsia="Times New Roman" w:hAnsi="Times New Roman" w:cs="Times New Roman"/>
        </w:rPr>
      </w:pPr>
    </w:p>
    <w:p w14:paraId="5AC9E869" w14:textId="77777777" w:rsidR="000430A4" w:rsidRPr="002F53BC" w:rsidRDefault="000430A4" w:rsidP="000430A4">
      <w:pPr>
        <w:rPr>
          <w:rFonts w:ascii="Times New Roman" w:eastAsia="Times New Roman" w:hAnsi="Times New Roman" w:cs="Times New Roman"/>
        </w:rPr>
      </w:pPr>
    </w:p>
    <w:p w14:paraId="0EE5EBC6" w14:textId="77777777" w:rsidR="000430A4" w:rsidRPr="002F53BC" w:rsidRDefault="000430A4" w:rsidP="000430A4">
      <w:pPr>
        <w:spacing w:after="160" w:line="278" w:lineRule="auto"/>
        <w:rPr>
          <w:rFonts w:ascii="Times New Roman" w:eastAsia="Times New Roman" w:hAnsi="Times New Roman" w:cs="Times New Roman"/>
        </w:rPr>
      </w:pPr>
    </w:p>
    <w:p w14:paraId="2592C66D" w14:textId="77777777" w:rsidR="000430A4" w:rsidRDefault="000430A4" w:rsidP="000430A4">
      <w:pPr>
        <w:spacing w:after="160" w:line="278" w:lineRule="auto"/>
        <w:rPr>
          <w:rFonts w:ascii="Times New Roman" w:eastAsia="Times New Roman" w:hAnsi="Times New Roman" w:cs="Times New Roman"/>
        </w:rPr>
      </w:pPr>
    </w:p>
    <w:p w14:paraId="0AD2FF9E" w14:textId="77777777" w:rsidR="000430A4" w:rsidRDefault="000430A4" w:rsidP="000430A4">
      <w:pPr>
        <w:spacing w:after="160" w:line="278" w:lineRule="auto"/>
        <w:rPr>
          <w:rFonts w:ascii="Times New Roman" w:eastAsia="Times New Roman" w:hAnsi="Times New Roman" w:cs="Times New Roman"/>
        </w:rPr>
      </w:pPr>
    </w:p>
    <w:p w14:paraId="5BA516D4" w14:textId="77777777" w:rsidR="000430A4" w:rsidRDefault="000430A4" w:rsidP="000430A4">
      <w:pPr>
        <w:rPr>
          <w:rFonts w:ascii="Times New Roman" w:eastAsia="Times New Roman" w:hAnsi="Times New Roman" w:cs="Times New Roman"/>
        </w:rPr>
      </w:pPr>
    </w:p>
    <w:p w14:paraId="6769B953" w14:textId="77777777" w:rsidR="000430A4" w:rsidRPr="002F53BC" w:rsidRDefault="000430A4" w:rsidP="000430A4">
      <w:pPr>
        <w:rPr>
          <w:rFonts w:ascii="Times New Roman" w:eastAsia="Times New Roman" w:hAnsi="Times New Roman" w:cs="Times New Roman"/>
        </w:rPr>
      </w:pPr>
    </w:p>
    <w:p w14:paraId="5DF79E16" w14:textId="77777777" w:rsidR="000430A4" w:rsidRPr="002F53BC" w:rsidRDefault="000430A4" w:rsidP="000430A4">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0430A4" w:rsidRPr="002F53BC" w14:paraId="4929847A" w14:textId="77777777" w:rsidTr="004F79D8">
        <w:tc>
          <w:tcPr>
            <w:tcW w:w="2340" w:type="dxa"/>
            <w:tcMar>
              <w:top w:w="100" w:type="dxa"/>
              <w:left w:w="100" w:type="dxa"/>
              <w:bottom w:w="100" w:type="dxa"/>
              <w:right w:w="100" w:type="dxa"/>
            </w:tcMar>
          </w:tcPr>
          <w:p w14:paraId="7F789246" w14:textId="77777777" w:rsidR="000430A4" w:rsidRPr="002F53BC" w:rsidRDefault="000430A4" w:rsidP="004F79D8">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Ticker Symbol &amp; Exchange:</w:t>
            </w:r>
          </w:p>
        </w:tc>
        <w:tc>
          <w:tcPr>
            <w:tcW w:w="2340" w:type="dxa"/>
            <w:tcMar>
              <w:top w:w="100" w:type="dxa"/>
              <w:left w:w="100" w:type="dxa"/>
              <w:bottom w:w="100" w:type="dxa"/>
              <w:right w:w="100" w:type="dxa"/>
            </w:tcMar>
          </w:tcPr>
          <w:p w14:paraId="4F9070EE" w14:textId="77777777" w:rsidR="000430A4" w:rsidRPr="002F53BC" w:rsidRDefault="000430A4" w:rsidP="004F79D8">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73492AB5" w14:textId="77777777" w:rsidR="000430A4" w:rsidRPr="002F53BC" w:rsidRDefault="000430A4" w:rsidP="004F79D8">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58F85032" w14:textId="77777777" w:rsidR="000430A4" w:rsidRPr="002F53BC" w:rsidRDefault="000430A4" w:rsidP="004F79D8">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0430A4" w:rsidRPr="002F53BC" w14:paraId="6A8B4A60" w14:textId="77777777" w:rsidTr="004F79D8">
        <w:tc>
          <w:tcPr>
            <w:tcW w:w="2340" w:type="dxa"/>
            <w:tcMar>
              <w:top w:w="100" w:type="dxa"/>
              <w:left w:w="100" w:type="dxa"/>
              <w:bottom w:w="100" w:type="dxa"/>
              <w:right w:w="100" w:type="dxa"/>
            </w:tcMar>
          </w:tcPr>
          <w:p w14:paraId="58CC0EE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2764211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475718A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35A4EB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3DF6871A" w14:textId="77777777" w:rsidTr="004F79D8">
        <w:tc>
          <w:tcPr>
            <w:tcW w:w="2340" w:type="dxa"/>
            <w:tcMar>
              <w:top w:w="100" w:type="dxa"/>
              <w:left w:w="100" w:type="dxa"/>
              <w:bottom w:w="100" w:type="dxa"/>
              <w:right w:w="100" w:type="dxa"/>
            </w:tcMar>
          </w:tcPr>
          <w:p w14:paraId="7CB13B2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3638730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2EA0F429"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6FC399F7"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2BF7B1E7" w14:textId="77777777" w:rsidTr="004F79D8">
        <w:tc>
          <w:tcPr>
            <w:tcW w:w="2340" w:type="dxa"/>
            <w:tcMar>
              <w:top w:w="100" w:type="dxa"/>
              <w:left w:w="100" w:type="dxa"/>
              <w:bottom w:w="100" w:type="dxa"/>
              <w:right w:w="100" w:type="dxa"/>
            </w:tcMar>
          </w:tcPr>
          <w:p w14:paraId="35A9B95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4B38816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51C9C9E6"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4553693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32FFAE9F" w14:textId="77777777" w:rsidTr="004F79D8">
        <w:tc>
          <w:tcPr>
            <w:tcW w:w="2340" w:type="dxa"/>
            <w:tcMar>
              <w:top w:w="100" w:type="dxa"/>
              <w:left w:w="100" w:type="dxa"/>
              <w:bottom w:w="100" w:type="dxa"/>
              <w:right w:w="100" w:type="dxa"/>
            </w:tcMar>
          </w:tcPr>
          <w:p w14:paraId="5870C5B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795E7677"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37F3A3C6"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8DEB62E"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0430A4" w:rsidRPr="002F53BC" w14:paraId="522A79E4" w14:textId="77777777" w:rsidTr="004F79D8">
        <w:tc>
          <w:tcPr>
            <w:tcW w:w="2340" w:type="dxa"/>
            <w:tcMar>
              <w:top w:w="100" w:type="dxa"/>
              <w:left w:w="100" w:type="dxa"/>
              <w:bottom w:w="100" w:type="dxa"/>
              <w:right w:w="100" w:type="dxa"/>
            </w:tcMar>
          </w:tcPr>
          <w:p w14:paraId="15DACE2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0624419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37F5A60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65F0639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0430A4" w:rsidRPr="002F53BC" w14:paraId="06B276E8" w14:textId="77777777" w:rsidTr="004F79D8">
        <w:tc>
          <w:tcPr>
            <w:tcW w:w="2340" w:type="dxa"/>
            <w:tcMar>
              <w:top w:w="100" w:type="dxa"/>
              <w:left w:w="100" w:type="dxa"/>
              <w:bottom w:w="100" w:type="dxa"/>
              <w:right w:w="100" w:type="dxa"/>
            </w:tcMar>
          </w:tcPr>
          <w:p w14:paraId="42930355"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1CF3B61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4C9E2F08"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B7F1E18"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137ACE81" w14:textId="77777777" w:rsidTr="004F79D8">
        <w:tc>
          <w:tcPr>
            <w:tcW w:w="2340" w:type="dxa"/>
            <w:tcMar>
              <w:top w:w="100" w:type="dxa"/>
              <w:left w:w="100" w:type="dxa"/>
              <w:bottom w:w="100" w:type="dxa"/>
              <w:right w:w="100" w:type="dxa"/>
            </w:tcMar>
          </w:tcPr>
          <w:p w14:paraId="0788633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16542DD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3670908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764DCE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37FD29FA" w14:textId="77777777" w:rsidTr="004F79D8">
        <w:tc>
          <w:tcPr>
            <w:tcW w:w="2340" w:type="dxa"/>
            <w:tcMar>
              <w:top w:w="100" w:type="dxa"/>
              <w:left w:w="100" w:type="dxa"/>
              <w:bottom w:w="100" w:type="dxa"/>
              <w:right w:w="100" w:type="dxa"/>
            </w:tcMar>
          </w:tcPr>
          <w:p w14:paraId="6950DCC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5E3223FE"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449BAA7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2E7F70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5B93C72C" w14:textId="77777777" w:rsidTr="004F79D8">
        <w:tc>
          <w:tcPr>
            <w:tcW w:w="2340" w:type="dxa"/>
            <w:tcMar>
              <w:top w:w="100" w:type="dxa"/>
              <w:left w:w="100" w:type="dxa"/>
              <w:bottom w:w="100" w:type="dxa"/>
              <w:right w:w="100" w:type="dxa"/>
            </w:tcMar>
          </w:tcPr>
          <w:p w14:paraId="0640328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67DEAB7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64661428"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B20276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2748543B" w14:textId="77777777" w:rsidTr="004F79D8">
        <w:tc>
          <w:tcPr>
            <w:tcW w:w="2340" w:type="dxa"/>
            <w:tcMar>
              <w:top w:w="100" w:type="dxa"/>
              <w:left w:w="100" w:type="dxa"/>
              <w:bottom w:w="100" w:type="dxa"/>
              <w:right w:w="100" w:type="dxa"/>
            </w:tcMar>
          </w:tcPr>
          <w:p w14:paraId="4F4CC46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4F170F4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42B15C80"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936683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52BC7BB8" w14:textId="77777777" w:rsidTr="004F79D8">
        <w:tc>
          <w:tcPr>
            <w:tcW w:w="2340" w:type="dxa"/>
            <w:tcMar>
              <w:top w:w="100" w:type="dxa"/>
              <w:left w:w="100" w:type="dxa"/>
              <w:bottom w:w="100" w:type="dxa"/>
              <w:right w:w="100" w:type="dxa"/>
            </w:tcMar>
          </w:tcPr>
          <w:p w14:paraId="1CD41DE6"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108BB874" w14:textId="77777777" w:rsidR="000430A4" w:rsidRPr="002F53BC" w:rsidRDefault="000430A4" w:rsidP="004F79D8">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5B3000F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BA136B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0430A4" w:rsidRPr="002F53BC" w14:paraId="61FEB387" w14:textId="77777777" w:rsidTr="004F79D8">
        <w:tc>
          <w:tcPr>
            <w:tcW w:w="2340" w:type="dxa"/>
            <w:tcMar>
              <w:top w:w="100" w:type="dxa"/>
              <w:left w:w="100" w:type="dxa"/>
              <w:bottom w:w="100" w:type="dxa"/>
              <w:right w:w="100" w:type="dxa"/>
            </w:tcMar>
          </w:tcPr>
          <w:p w14:paraId="23E32400"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5BE8EBE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11AE6625"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6A914486"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0430A4" w:rsidRPr="002F53BC" w14:paraId="06F7E232" w14:textId="77777777" w:rsidTr="004F79D8">
        <w:tc>
          <w:tcPr>
            <w:tcW w:w="2340" w:type="dxa"/>
            <w:tcMar>
              <w:top w:w="100" w:type="dxa"/>
              <w:left w:w="100" w:type="dxa"/>
              <w:bottom w:w="100" w:type="dxa"/>
              <w:right w:w="100" w:type="dxa"/>
            </w:tcMar>
          </w:tcPr>
          <w:p w14:paraId="033A1CA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67693D7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4B686E3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059900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0CBF972E" w14:textId="77777777" w:rsidTr="004F79D8">
        <w:tc>
          <w:tcPr>
            <w:tcW w:w="2340" w:type="dxa"/>
            <w:tcMar>
              <w:top w:w="100" w:type="dxa"/>
              <w:left w:w="100" w:type="dxa"/>
              <w:bottom w:w="100" w:type="dxa"/>
              <w:right w:w="100" w:type="dxa"/>
            </w:tcMar>
          </w:tcPr>
          <w:p w14:paraId="6EAD56B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0AE51F7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12F5C7C5"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9FD7D5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2B01C6D0" w14:textId="77777777" w:rsidTr="004F79D8">
        <w:tc>
          <w:tcPr>
            <w:tcW w:w="2340" w:type="dxa"/>
            <w:tcMar>
              <w:top w:w="100" w:type="dxa"/>
              <w:left w:w="100" w:type="dxa"/>
              <w:bottom w:w="100" w:type="dxa"/>
              <w:right w:w="100" w:type="dxa"/>
            </w:tcMar>
          </w:tcPr>
          <w:p w14:paraId="2D178851"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7AD565A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67A912B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C4054C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213A1156" w14:textId="77777777" w:rsidTr="004F79D8">
        <w:tc>
          <w:tcPr>
            <w:tcW w:w="2340" w:type="dxa"/>
            <w:tcMar>
              <w:top w:w="100" w:type="dxa"/>
              <w:left w:w="100" w:type="dxa"/>
              <w:bottom w:w="100" w:type="dxa"/>
              <w:right w:w="100" w:type="dxa"/>
            </w:tcMar>
          </w:tcPr>
          <w:p w14:paraId="7E34F5F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50CC43B1"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474DC407"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D661B8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0430A4" w:rsidRPr="002F53BC" w14:paraId="735C7E21" w14:textId="77777777" w:rsidTr="004F79D8">
        <w:tc>
          <w:tcPr>
            <w:tcW w:w="2340" w:type="dxa"/>
            <w:tcMar>
              <w:top w:w="100" w:type="dxa"/>
              <w:left w:w="100" w:type="dxa"/>
              <w:bottom w:w="100" w:type="dxa"/>
              <w:right w:w="100" w:type="dxa"/>
            </w:tcMar>
          </w:tcPr>
          <w:p w14:paraId="4BB7D22E"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6607028E"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35F9E53E"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EDC4554"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0430A4" w:rsidRPr="002F53BC" w14:paraId="79FD5D37" w14:textId="77777777" w:rsidTr="004F79D8">
        <w:tc>
          <w:tcPr>
            <w:tcW w:w="2340" w:type="dxa"/>
            <w:tcMar>
              <w:top w:w="100" w:type="dxa"/>
              <w:left w:w="100" w:type="dxa"/>
              <w:bottom w:w="100" w:type="dxa"/>
              <w:right w:w="100" w:type="dxa"/>
            </w:tcMar>
          </w:tcPr>
          <w:p w14:paraId="3E5FB74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79078319"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303D4188"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907C42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53987D48" w14:textId="77777777" w:rsidTr="004F79D8">
        <w:tc>
          <w:tcPr>
            <w:tcW w:w="2340" w:type="dxa"/>
            <w:tcMar>
              <w:top w:w="100" w:type="dxa"/>
              <w:left w:w="100" w:type="dxa"/>
              <w:bottom w:w="100" w:type="dxa"/>
              <w:right w:w="100" w:type="dxa"/>
            </w:tcMar>
          </w:tcPr>
          <w:p w14:paraId="07EDFEA5"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TMUS: NASDAQ</w:t>
            </w:r>
          </w:p>
        </w:tc>
        <w:tc>
          <w:tcPr>
            <w:tcW w:w="2340" w:type="dxa"/>
            <w:tcMar>
              <w:top w:w="100" w:type="dxa"/>
              <w:left w:w="100" w:type="dxa"/>
              <w:bottom w:w="100" w:type="dxa"/>
              <w:right w:w="100" w:type="dxa"/>
            </w:tcMar>
          </w:tcPr>
          <w:p w14:paraId="504EB690"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76BE9C1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977CA4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0430A4" w:rsidRPr="002F53BC" w14:paraId="73C2D921" w14:textId="77777777" w:rsidTr="004F79D8">
        <w:tc>
          <w:tcPr>
            <w:tcW w:w="2340" w:type="dxa"/>
            <w:tcMar>
              <w:top w:w="100" w:type="dxa"/>
              <w:left w:w="100" w:type="dxa"/>
              <w:bottom w:w="100" w:type="dxa"/>
              <w:right w:w="100" w:type="dxa"/>
            </w:tcMar>
          </w:tcPr>
          <w:p w14:paraId="1C0B0B6D"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6EC20706"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2494546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76205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0430A4" w:rsidRPr="002F53BC" w14:paraId="16B49F69" w14:textId="77777777" w:rsidTr="004F79D8">
        <w:tc>
          <w:tcPr>
            <w:tcW w:w="2340" w:type="dxa"/>
            <w:tcMar>
              <w:top w:w="100" w:type="dxa"/>
              <w:left w:w="100" w:type="dxa"/>
              <w:bottom w:w="100" w:type="dxa"/>
              <w:right w:w="100" w:type="dxa"/>
            </w:tcMar>
          </w:tcPr>
          <w:p w14:paraId="1510C40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3F3DB9F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3E149FC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843A8E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0430A4" w:rsidRPr="002F53BC" w14:paraId="00BFE94F" w14:textId="77777777" w:rsidTr="004F79D8">
        <w:tc>
          <w:tcPr>
            <w:tcW w:w="2340" w:type="dxa"/>
            <w:tcMar>
              <w:top w:w="100" w:type="dxa"/>
              <w:left w:w="100" w:type="dxa"/>
              <w:bottom w:w="100" w:type="dxa"/>
              <w:right w:w="100" w:type="dxa"/>
            </w:tcMar>
          </w:tcPr>
          <w:p w14:paraId="2A5436A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7BC2087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5DCB04C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0845BBB"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0430A4" w:rsidRPr="002F53BC" w14:paraId="55E59F7C" w14:textId="77777777" w:rsidTr="004F79D8">
        <w:tc>
          <w:tcPr>
            <w:tcW w:w="2340" w:type="dxa"/>
            <w:tcMar>
              <w:top w:w="100" w:type="dxa"/>
              <w:left w:w="100" w:type="dxa"/>
              <w:bottom w:w="100" w:type="dxa"/>
              <w:right w:w="100" w:type="dxa"/>
            </w:tcMar>
          </w:tcPr>
          <w:p w14:paraId="5D661D0A"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31750252"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70E6C220"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FB24A9F"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0430A4" w:rsidRPr="002F53BC" w14:paraId="21B266BE" w14:textId="77777777" w:rsidTr="004F79D8">
        <w:tc>
          <w:tcPr>
            <w:tcW w:w="2340" w:type="dxa"/>
            <w:tcMar>
              <w:top w:w="100" w:type="dxa"/>
              <w:left w:w="100" w:type="dxa"/>
              <w:bottom w:w="100" w:type="dxa"/>
              <w:right w:w="100" w:type="dxa"/>
            </w:tcMar>
          </w:tcPr>
          <w:p w14:paraId="65243D33"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3A4CAF9C"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2AF9C499"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F7DBA7" w14:textId="77777777" w:rsidR="000430A4" w:rsidRPr="002F53BC" w:rsidRDefault="000430A4" w:rsidP="004F79D8">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541C4F07" w14:textId="77777777" w:rsidR="000430A4" w:rsidRPr="002F53BC" w:rsidRDefault="000430A4" w:rsidP="000430A4">
      <w:pPr>
        <w:rPr>
          <w:rFonts w:ascii="Times New Roman" w:eastAsia="Times New Roman" w:hAnsi="Times New Roman" w:cs="Times New Roman"/>
        </w:rPr>
      </w:pPr>
    </w:p>
    <w:p w14:paraId="5D10AEBC" w14:textId="77777777" w:rsidR="000430A4" w:rsidRPr="002F53BC" w:rsidRDefault="000430A4" w:rsidP="000430A4">
      <w:pPr>
        <w:rPr>
          <w:rFonts w:ascii="Times New Roman" w:eastAsia="Times New Roman" w:hAnsi="Times New Roman" w:cs="Times New Roman"/>
        </w:rPr>
      </w:pPr>
    </w:p>
    <w:p w14:paraId="640C516A" w14:textId="77777777" w:rsidR="000430A4" w:rsidRPr="002F53BC" w:rsidRDefault="000430A4" w:rsidP="000430A4">
      <w:pPr>
        <w:rPr>
          <w:rFonts w:ascii="Times New Roman" w:hAnsi="Times New Roman" w:cs="Times New Roman"/>
        </w:rPr>
      </w:pPr>
    </w:p>
    <w:p w14:paraId="479C37A8" w14:textId="77777777" w:rsidR="000430A4" w:rsidRPr="002F53BC" w:rsidRDefault="000430A4" w:rsidP="000430A4">
      <w:pPr>
        <w:rPr>
          <w:rFonts w:ascii="Times New Roman" w:hAnsi="Times New Roman" w:cs="Times New Roman"/>
        </w:rPr>
      </w:pPr>
    </w:p>
    <w:p w14:paraId="4F10144D" w14:textId="77777777" w:rsidR="000430A4" w:rsidRDefault="000430A4" w:rsidP="000430A4"/>
    <w:p w14:paraId="36E7B9DF" w14:textId="77777777" w:rsidR="000430A4" w:rsidRDefault="000430A4" w:rsidP="000430A4"/>
    <w:p w14:paraId="72D26910" w14:textId="77777777" w:rsidR="000430A4" w:rsidRDefault="000430A4" w:rsidP="000430A4"/>
    <w:p w14:paraId="0D158ED7" w14:textId="77777777" w:rsidR="000430A4" w:rsidRDefault="000430A4" w:rsidP="000430A4"/>
    <w:p w14:paraId="0F1583AF" w14:textId="77777777" w:rsidR="000430A4" w:rsidRDefault="000430A4" w:rsidP="000430A4"/>
    <w:p w14:paraId="2B59BB4A" w14:textId="77777777" w:rsidR="00450EBB" w:rsidRDefault="00450EBB"/>
    <w:sectPr w:rsidR="00450EBB" w:rsidSect="00043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A4"/>
    <w:rsid w:val="000430A4"/>
    <w:rsid w:val="000B6A2F"/>
    <w:rsid w:val="004476FC"/>
    <w:rsid w:val="00450EBB"/>
    <w:rsid w:val="004C3F3C"/>
    <w:rsid w:val="00C13FB2"/>
    <w:rsid w:val="00CC6A45"/>
    <w:rsid w:val="00F02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3508"/>
  <w15:chartTrackingRefBased/>
  <w15:docId w15:val="{3A0F5328-5908-4EA2-A82F-B3E05D30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0A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430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430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430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430A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0430A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0430A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0430A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0430A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0430A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0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0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0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0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0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0A4"/>
    <w:rPr>
      <w:rFonts w:eastAsiaTheme="majorEastAsia" w:cstheme="majorBidi"/>
      <w:color w:val="272727" w:themeColor="text1" w:themeTint="D8"/>
    </w:rPr>
  </w:style>
  <w:style w:type="paragraph" w:styleId="Title">
    <w:name w:val="Title"/>
    <w:basedOn w:val="Normal"/>
    <w:next w:val="Normal"/>
    <w:link w:val="TitleChar"/>
    <w:uiPriority w:val="10"/>
    <w:qFormat/>
    <w:rsid w:val="000430A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43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0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43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0A4"/>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0430A4"/>
    <w:rPr>
      <w:i/>
      <w:iCs/>
      <w:color w:val="404040" w:themeColor="text1" w:themeTint="BF"/>
    </w:rPr>
  </w:style>
  <w:style w:type="paragraph" w:styleId="ListParagraph">
    <w:name w:val="List Paragraph"/>
    <w:basedOn w:val="Normal"/>
    <w:uiPriority w:val="34"/>
    <w:qFormat/>
    <w:rsid w:val="000430A4"/>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0430A4"/>
    <w:rPr>
      <w:i/>
      <w:iCs/>
      <w:color w:val="0F4761" w:themeColor="accent1" w:themeShade="BF"/>
    </w:rPr>
  </w:style>
  <w:style w:type="paragraph" w:styleId="IntenseQuote">
    <w:name w:val="Intense Quote"/>
    <w:basedOn w:val="Normal"/>
    <w:next w:val="Normal"/>
    <w:link w:val="IntenseQuoteChar"/>
    <w:uiPriority w:val="30"/>
    <w:qFormat/>
    <w:rsid w:val="000430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0430A4"/>
    <w:rPr>
      <w:i/>
      <w:iCs/>
      <w:color w:val="0F4761" w:themeColor="accent1" w:themeShade="BF"/>
    </w:rPr>
  </w:style>
  <w:style w:type="character" w:styleId="IntenseReference">
    <w:name w:val="Intense Reference"/>
    <w:basedOn w:val="DefaultParagraphFont"/>
    <w:uiPriority w:val="32"/>
    <w:qFormat/>
    <w:rsid w:val="000430A4"/>
    <w:rPr>
      <w:b/>
      <w:bCs/>
      <w:smallCaps/>
      <w:color w:val="0F4761" w:themeColor="accent1" w:themeShade="BF"/>
      <w:spacing w:val="5"/>
    </w:rPr>
  </w:style>
  <w:style w:type="character" w:styleId="Hyperlink">
    <w:name w:val="Hyperlink"/>
    <w:basedOn w:val="DefaultParagraphFont"/>
    <w:uiPriority w:val="99"/>
    <w:unhideWhenUsed/>
    <w:rsid w:val="000430A4"/>
    <w:rPr>
      <w:color w:val="467886" w:themeColor="hyperlink"/>
      <w:u w:val="single"/>
    </w:rPr>
  </w:style>
  <w:style w:type="paragraph" w:styleId="Revision">
    <w:name w:val="Revision"/>
    <w:hidden/>
    <w:uiPriority w:val="99"/>
    <w:semiHidden/>
    <w:rsid w:val="00F029E2"/>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newshour/economy/u-s-hits-bank-of-america-with-1-2-billion-fine-saying-it-violated-money-laundering-and-sanctions-laws" TargetMode="External"/><Relationship Id="rId5" Type="http://schemas.openxmlformats.org/officeDocument/2006/relationships/hyperlink" Target="https://247wallst.com/investing/2026/10/14/bank-of-america-falls-5-as-1-2b-money-laundering-penalty-drives-earnings-miss-jpmorgan-chase-and-wells-fargo-hold-steady/" TargetMode="External"/><Relationship Id="rId4" Type="http://schemas.openxmlformats.org/officeDocument/2006/relationships/hyperlink" Target="https://www.stocktitan.net/news/ICCC/immu-cell-announces-a-46-increase-in-product-sales-in-quarter-three-6gyhqhcvwj4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3</cp:revision>
  <dcterms:created xsi:type="dcterms:W3CDTF">2026-10-18T16:50:00Z</dcterms:created>
  <dcterms:modified xsi:type="dcterms:W3CDTF">2026-10-18T23:22:00Z</dcterms:modified>
</cp:coreProperties>
</file>