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B3C0BE" w14:textId="77777777" w:rsidR="00926FFF" w:rsidRPr="00045B69" w:rsidRDefault="00926FFF" w:rsidP="00926FFF">
      <w:pPr>
        <w:jc w:val="center"/>
        <w:rPr>
          <w:rFonts w:ascii="Times New Roman" w:eastAsia="Times New Roman" w:hAnsi="Times New Roman" w:cs="Times New Roman"/>
          <w:b/>
          <w:bCs/>
          <w:sz w:val="24"/>
          <w:szCs w:val="24"/>
        </w:rPr>
      </w:pPr>
      <w:r w:rsidRPr="00045B69">
        <w:rPr>
          <w:rFonts w:ascii="Times New Roman" w:eastAsia="Times New Roman" w:hAnsi="Times New Roman" w:cs="Times New Roman"/>
          <w:b/>
          <w:bCs/>
          <w:sz w:val="24"/>
          <w:szCs w:val="24"/>
        </w:rPr>
        <w:t>Husson Stock Index</w:t>
      </w:r>
    </w:p>
    <w:p w14:paraId="57F60DC4" w14:textId="77777777" w:rsidR="00926FFF" w:rsidRPr="00045B69" w:rsidRDefault="00926FFF" w:rsidP="00926FFF">
      <w:pPr>
        <w:jc w:val="center"/>
        <w:rPr>
          <w:rFonts w:ascii="Times New Roman" w:eastAsia="Times New Roman" w:hAnsi="Times New Roman" w:cs="Times New Roman"/>
          <w:b/>
          <w:bCs/>
          <w:sz w:val="24"/>
          <w:szCs w:val="24"/>
        </w:rPr>
      </w:pPr>
      <w:r w:rsidRPr="00045B69">
        <w:rPr>
          <w:rFonts w:ascii="Times New Roman" w:eastAsia="Times New Roman" w:hAnsi="Times New Roman" w:cs="Times New Roman"/>
          <w:b/>
          <w:bCs/>
          <w:sz w:val="24"/>
          <w:szCs w:val="24"/>
        </w:rPr>
        <w:t xml:space="preserve">Friday, </w:t>
      </w:r>
      <w:r>
        <w:rPr>
          <w:rFonts w:ascii="Times New Roman" w:eastAsia="Times New Roman" w:hAnsi="Times New Roman" w:cs="Times New Roman"/>
          <w:b/>
          <w:bCs/>
          <w:sz w:val="24"/>
          <w:szCs w:val="24"/>
        </w:rPr>
        <w:t>October 9th</w:t>
      </w:r>
      <w:r w:rsidRPr="00045B69">
        <w:rPr>
          <w:rFonts w:ascii="Times New Roman" w:eastAsia="Times New Roman" w:hAnsi="Times New Roman" w:cs="Times New Roman"/>
          <w:b/>
          <w:bCs/>
          <w:sz w:val="24"/>
          <w:szCs w:val="24"/>
        </w:rPr>
        <w:t>, 2026</w:t>
      </w:r>
    </w:p>
    <w:p w14:paraId="157B02C1" w14:textId="3C7BE74F" w:rsidR="00926FFF" w:rsidRPr="00045B69" w:rsidRDefault="00926FFF" w:rsidP="00926FFF">
      <w:pPr>
        <w:rPr>
          <w:rFonts w:ascii="Times New Roman" w:eastAsia="Times New Roman" w:hAnsi="Times New Roman" w:cs="Times New Roman"/>
          <w:sz w:val="24"/>
          <w:szCs w:val="24"/>
        </w:rPr>
      </w:pPr>
      <w:r w:rsidRPr="00045B69">
        <w:rPr>
          <w:rFonts w:ascii="Times New Roman" w:eastAsia="Times New Roman" w:hAnsi="Times New Roman" w:cs="Times New Roman"/>
          <w:b/>
          <w:bCs/>
          <w:sz w:val="24"/>
          <w:szCs w:val="24"/>
        </w:rPr>
        <w:tab/>
      </w:r>
      <w:r w:rsidRPr="00045B69">
        <w:rPr>
          <w:rFonts w:ascii="Times New Roman" w:eastAsia="Times New Roman" w:hAnsi="Times New Roman" w:cs="Times New Roman"/>
          <w:sz w:val="24"/>
          <w:szCs w:val="24"/>
        </w:rPr>
        <w:t xml:space="preserve">For the week ending </w:t>
      </w:r>
      <w:r>
        <w:rPr>
          <w:rFonts w:ascii="Times New Roman" w:eastAsia="Times New Roman" w:hAnsi="Times New Roman" w:cs="Times New Roman"/>
          <w:sz w:val="24"/>
          <w:szCs w:val="24"/>
        </w:rPr>
        <w:t>October 9</w:t>
      </w:r>
      <w:r w:rsidRPr="00045B69">
        <w:rPr>
          <w:rFonts w:ascii="Times New Roman" w:eastAsia="Times New Roman" w:hAnsi="Times New Roman" w:cs="Times New Roman"/>
          <w:sz w:val="24"/>
          <w:szCs w:val="24"/>
        </w:rPr>
        <w:t>, 2026, the Husson Stock index (HSI) closed at 24</w:t>
      </w:r>
      <w:r>
        <w:rPr>
          <w:rFonts w:ascii="Times New Roman" w:eastAsia="Times New Roman" w:hAnsi="Times New Roman" w:cs="Times New Roman"/>
          <w:sz w:val="24"/>
          <w:szCs w:val="24"/>
        </w:rPr>
        <w:t>7.22</w:t>
      </w:r>
      <w:r w:rsidRPr="00045B69">
        <w:rPr>
          <w:rFonts w:ascii="Times New Roman" w:eastAsia="Times New Roman" w:hAnsi="Times New Roman" w:cs="Times New Roman"/>
          <w:sz w:val="24"/>
          <w:szCs w:val="24"/>
        </w:rPr>
        <w:t>, a</w:t>
      </w:r>
      <w:r>
        <w:rPr>
          <w:rFonts w:ascii="Times New Roman" w:eastAsia="Times New Roman" w:hAnsi="Times New Roman" w:cs="Times New Roman"/>
          <w:sz w:val="24"/>
          <w:szCs w:val="24"/>
        </w:rPr>
        <w:t>n</w:t>
      </w:r>
      <w:r w:rsidRPr="00045B6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increase</w:t>
      </w:r>
      <w:r w:rsidRPr="00045B69">
        <w:rPr>
          <w:rFonts w:ascii="Times New Roman" w:eastAsia="Times New Roman" w:hAnsi="Times New Roman" w:cs="Times New Roman"/>
          <w:sz w:val="24"/>
          <w:szCs w:val="24"/>
        </w:rPr>
        <w:t xml:space="preserve"> of </w:t>
      </w:r>
      <w:r>
        <w:rPr>
          <w:rFonts w:ascii="Times New Roman" w:eastAsia="Times New Roman" w:hAnsi="Times New Roman" w:cs="Times New Roman"/>
          <w:sz w:val="24"/>
          <w:szCs w:val="24"/>
        </w:rPr>
        <w:t>1.06</w:t>
      </w:r>
      <w:r w:rsidRPr="00045B69">
        <w:rPr>
          <w:rFonts w:ascii="Times New Roman" w:eastAsia="Times New Roman" w:hAnsi="Times New Roman" w:cs="Times New Roman"/>
          <w:sz w:val="24"/>
          <w:szCs w:val="24"/>
        </w:rPr>
        <w:t xml:space="preserve">% from last week, which was </w:t>
      </w:r>
      <w:r>
        <w:rPr>
          <w:rFonts w:ascii="Times New Roman" w:eastAsia="Times New Roman" w:hAnsi="Times New Roman" w:cs="Times New Roman"/>
          <w:sz w:val="24"/>
          <w:szCs w:val="24"/>
        </w:rPr>
        <w:t>244.62</w:t>
      </w:r>
      <w:r w:rsidRPr="00045B69">
        <w:rPr>
          <w:rFonts w:ascii="Times New Roman" w:eastAsia="Times New Roman" w:hAnsi="Times New Roman" w:cs="Times New Roman"/>
          <w:sz w:val="24"/>
          <w:szCs w:val="24"/>
        </w:rPr>
        <w:t xml:space="preserve">. The HSI </w:t>
      </w:r>
      <w:r>
        <w:rPr>
          <w:rFonts w:ascii="Times New Roman" w:eastAsia="Times New Roman" w:hAnsi="Times New Roman" w:cs="Times New Roman"/>
          <w:sz w:val="24"/>
          <w:szCs w:val="24"/>
        </w:rPr>
        <w:t>is currently down 1.99%</w:t>
      </w:r>
      <w:r w:rsidRPr="00045B69">
        <w:rPr>
          <w:rFonts w:ascii="Times New Roman" w:eastAsia="Times New Roman" w:hAnsi="Times New Roman" w:cs="Times New Roman"/>
          <w:sz w:val="24"/>
          <w:szCs w:val="24"/>
        </w:rPr>
        <w:t xml:space="preserve"> year-to-date. The S&amp;P 500 (GSPC) saw a</w:t>
      </w:r>
      <w:r>
        <w:rPr>
          <w:rFonts w:ascii="Times New Roman" w:eastAsia="Times New Roman" w:hAnsi="Times New Roman" w:cs="Times New Roman"/>
          <w:sz w:val="24"/>
          <w:szCs w:val="24"/>
        </w:rPr>
        <w:t>n increase of 1.15</w:t>
      </w:r>
      <w:r w:rsidRPr="00045B69">
        <w:rPr>
          <w:rFonts w:ascii="Times New Roman" w:eastAsia="Times New Roman" w:hAnsi="Times New Roman" w:cs="Times New Roman"/>
          <w:sz w:val="24"/>
          <w:szCs w:val="24"/>
        </w:rPr>
        <w:t xml:space="preserve">% this week </w:t>
      </w:r>
      <w:r>
        <w:rPr>
          <w:rFonts w:ascii="Times New Roman" w:eastAsia="Times New Roman" w:hAnsi="Times New Roman" w:cs="Times New Roman"/>
          <w:sz w:val="24"/>
          <w:szCs w:val="24"/>
        </w:rPr>
        <w:t>leading to</w:t>
      </w:r>
      <w:r w:rsidRPr="00045B69">
        <w:rPr>
          <w:rFonts w:ascii="Times New Roman" w:eastAsia="Times New Roman" w:hAnsi="Times New Roman" w:cs="Times New Roman"/>
          <w:sz w:val="24"/>
          <w:szCs w:val="24"/>
        </w:rPr>
        <w:t xml:space="preserve"> a YTD increase of 1</w:t>
      </w:r>
      <w:r>
        <w:rPr>
          <w:rFonts w:ascii="Times New Roman" w:eastAsia="Times New Roman" w:hAnsi="Times New Roman" w:cs="Times New Roman"/>
          <w:sz w:val="24"/>
          <w:szCs w:val="24"/>
        </w:rPr>
        <w:t>3.90</w:t>
      </w:r>
      <w:r w:rsidRPr="00045B69">
        <w:rPr>
          <w:rFonts w:ascii="Times New Roman" w:eastAsia="Times New Roman" w:hAnsi="Times New Roman" w:cs="Times New Roman"/>
          <w:sz w:val="24"/>
          <w:szCs w:val="24"/>
        </w:rPr>
        <w:t>%. The Dow Jones Industrial Average (DJIA) saw a</w:t>
      </w:r>
      <w:r>
        <w:rPr>
          <w:rFonts w:ascii="Times New Roman" w:eastAsia="Times New Roman" w:hAnsi="Times New Roman" w:cs="Times New Roman"/>
          <w:sz w:val="24"/>
          <w:szCs w:val="24"/>
        </w:rPr>
        <w:t xml:space="preserve">n increase </w:t>
      </w:r>
      <w:r w:rsidRPr="00045B69">
        <w:rPr>
          <w:rFonts w:ascii="Times New Roman" w:eastAsia="Times New Roman" w:hAnsi="Times New Roman" w:cs="Times New Roman"/>
          <w:sz w:val="24"/>
          <w:szCs w:val="24"/>
        </w:rPr>
        <w:t xml:space="preserve">of </w:t>
      </w:r>
      <w:r>
        <w:rPr>
          <w:rFonts w:ascii="Times New Roman" w:eastAsia="Times New Roman" w:hAnsi="Times New Roman" w:cs="Times New Roman"/>
          <w:sz w:val="24"/>
          <w:szCs w:val="24"/>
        </w:rPr>
        <w:t>0.93</w:t>
      </w:r>
      <w:r w:rsidRPr="00045B69">
        <w:rPr>
          <w:rFonts w:ascii="Times New Roman" w:eastAsia="Times New Roman" w:hAnsi="Times New Roman" w:cs="Times New Roman"/>
          <w:sz w:val="24"/>
          <w:szCs w:val="24"/>
        </w:rPr>
        <w:t>% this week,</w:t>
      </w:r>
      <w:r w:rsidR="00555341">
        <w:rPr>
          <w:rFonts w:ascii="Times New Roman" w:eastAsia="Times New Roman" w:hAnsi="Times New Roman" w:cs="Times New Roman"/>
          <w:sz w:val="24"/>
          <w:szCs w:val="24"/>
        </w:rPr>
        <w:t xml:space="preserve"> and</w:t>
      </w:r>
      <w:r w:rsidRPr="00045B69">
        <w:rPr>
          <w:rFonts w:ascii="Times New Roman" w:eastAsia="Times New Roman" w:hAnsi="Times New Roman" w:cs="Times New Roman"/>
          <w:sz w:val="24"/>
          <w:szCs w:val="24"/>
        </w:rPr>
        <w:t xml:space="preserve"> therefore its year-to-date gain is now </w:t>
      </w:r>
      <w:r>
        <w:rPr>
          <w:rFonts w:ascii="Times New Roman" w:eastAsia="Times New Roman" w:hAnsi="Times New Roman" w:cs="Times New Roman"/>
          <w:sz w:val="24"/>
          <w:szCs w:val="24"/>
        </w:rPr>
        <w:t>6.76</w:t>
      </w:r>
      <w:r w:rsidRPr="00045B69">
        <w:rPr>
          <w:rFonts w:ascii="Times New Roman" w:eastAsia="Times New Roman" w:hAnsi="Times New Roman" w:cs="Times New Roman"/>
          <w:sz w:val="24"/>
          <w:szCs w:val="24"/>
        </w:rPr>
        <w:t>%.</w:t>
      </w:r>
    </w:p>
    <w:p w14:paraId="2B2564D4" w14:textId="77777777" w:rsidR="00926FFF" w:rsidRPr="00045B69" w:rsidRDefault="00926FFF" w:rsidP="00926FFF">
      <w:pPr>
        <w:jc w:val="center"/>
        <w:rPr>
          <w:rFonts w:ascii="Times New Roman" w:eastAsia="Times New Roman" w:hAnsi="Times New Roman" w:cs="Times New Roman"/>
          <w:sz w:val="24"/>
          <w:szCs w:val="24"/>
        </w:rPr>
      </w:pPr>
    </w:p>
    <w:p w14:paraId="5499F421" w14:textId="77777777" w:rsidR="00926FFF" w:rsidRPr="005043E7" w:rsidRDefault="00926FFF" w:rsidP="00926FFF">
      <w:pPr>
        <w:jc w:val="center"/>
        <w:rPr>
          <w:rFonts w:ascii="Times New Roman" w:eastAsia="Times New Roman" w:hAnsi="Times New Roman" w:cs="Times New Roman"/>
          <w:b/>
          <w:bCs/>
          <w:sz w:val="24"/>
          <w:szCs w:val="24"/>
        </w:rPr>
      </w:pPr>
      <w:r w:rsidRPr="005043E7">
        <w:rPr>
          <w:rFonts w:ascii="Times New Roman" w:eastAsia="Times New Roman" w:hAnsi="Times New Roman" w:cs="Times New Roman"/>
          <w:b/>
          <w:bCs/>
          <w:sz w:val="24"/>
          <w:szCs w:val="24"/>
        </w:rPr>
        <w:t>Summary</w:t>
      </w:r>
    </w:p>
    <w:p w14:paraId="31376B08" w14:textId="7938703B" w:rsidR="00926FFF" w:rsidRPr="00942967" w:rsidRDefault="00926FFF" w:rsidP="00926FFF">
      <w:pPr>
        <w:rPr>
          <w:rFonts w:ascii="Times New Roman" w:eastAsia="Times New Roman" w:hAnsi="Times New Roman" w:cs="Times New Roman"/>
          <w:sz w:val="24"/>
          <w:szCs w:val="24"/>
          <w:lang w:val="en-US"/>
        </w:rPr>
      </w:pPr>
      <w:r w:rsidRPr="005043E7">
        <w:rPr>
          <w:rFonts w:ascii="Times New Roman" w:eastAsia="Times New Roman" w:hAnsi="Times New Roman" w:cs="Times New Roman"/>
          <w:sz w:val="24"/>
          <w:szCs w:val="24"/>
        </w:rPr>
        <w:tab/>
      </w:r>
      <w:r w:rsidRPr="00942967">
        <w:rPr>
          <w:rFonts w:ascii="Times New Roman" w:eastAsia="Times New Roman" w:hAnsi="Times New Roman" w:cs="Times New Roman"/>
          <w:sz w:val="24"/>
          <w:szCs w:val="24"/>
          <w:lang w:val="en-US"/>
        </w:rPr>
        <w:t>The largest gain on the HSI this week was from Walmart Inc. (WMT: NASDAQ). Walmart increased from $104.26 to $111.35, or 6.80%. The week lined up with Walmart's seven-day “Deals &amp; More” sale, which ran from October 5th through October 11th and deliberately overlapped Amazon's Prime Big Deal Days on October 6th and 7th. Unlike Amazon</w:t>
      </w:r>
      <w:r w:rsidR="006A4163">
        <w:rPr>
          <w:rFonts w:ascii="Times New Roman" w:eastAsia="Times New Roman" w:hAnsi="Times New Roman" w:cs="Times New Roman"/>
          <w:sz w:val="24"/>
          <w:szCs w:val="24"/>
          <w:lang w:val="en-US"/>
        </w:rPr>
        <w:t>’</w:t>
      </w:r>
      <w:r w:rsidRPr="00942967">
        <w:rPr>
          <w:rFonts w:ascii="Times New Roman" w:eastAsia="Times New Roman" w:hAnsi="Times New Roman" w:cs="Times New Roman"/>
          <w:sz w:val="24"/>
          <w:szCs w:val="24"/>
          <w:lang w:val="en-US"/>
        </w:rPr>
        <w:t>s event, Walmart</w:t>
      </w:r>
      <w:r w:rsidR="006A4163">
        <w:rPr>
          <w:rFonts w:ascii="Times New Roman" w:eastAsia="Times New Roman" w:hAnsi="Times New Roman" w:cs="Times New Roman"/>
          <w:sz w:val="24"/>
          <w:szCs w:val="24"/>
          <w:lang w:val="en-US"/>
        </w:rPr>
        <w:t>’</w:t>
      </w:r>
      <w:r w:rsidRPr="00942967">
        <w:rPr>
          <w:rFonts w:ascii="Times New Roman" w:eastAsia="Times New Roman" w:hAnsi="Times New Roman" w:cs="Times New Roman"/>
          <w:sz w:val="24"/>
          <w:szCs w:val="24"/>
          <w:lang w:val="en-US"/>
        </w:rPr>
        <w:t>s sale was open to every shopper without a paid membership, putting it in direct competition for early holiday spending. The event builds on strong operational momentum coming out of the second quarter, when Walmart grew U.S. e-commerce sales 24%, grew its Walmart Connect advertising business 43%, and raised its full-year sales and operating income guidance. A well-executed start to the holiday season against its largest online rival may have given investors added confidence heading into the fourth quarter. The second largest gain on the HSI this week was from Valero Energy Corporation (VLO: NYSE). Valero saw an increase in price from $406.30 to $433.75, a percentage increase of 6.76%.</w:t>
      </w:r>
    </w:p>
    <w:p w14:paraId="3611F1F7" w14:textId="77777777" w:rsidR="00926FFF" w:rsidRDefault="00926FFF" w:rsidP="00926FFF">
      <w:pPr>
        <w:rPr>
          <w:rFonts w:ascii="Times New Roman" w:eastAsia="Times New Roman" w:hAnsi="Times New Roman" w:cs="Times New Roman"/>
          <w:sz w:val="24"/>
          <w:szCs w:val="24"/>
          <w:lang w:val="en-US"/>
        </w:rPr>
      </w:pPr>
      <w:r w:rsidRPr="00942967">
        <w:rPr>
          <w:rFonts w:ascii="Times New Roman" w:eastAsia="Times New Roman" w:hAnsi="Times New Roman" w:cs="Times New Roman"/>
          <w:sz w:val="24"/>
          <w:szCs w:val="24"/>
          <w:lang w:val="en-US"/>
        </w:rPr>
        <w:tab/>
      </w:r>
    </w:p>
    <w:p w14:paraId="697C6553" w14:textId="05367834" w:rsidR="00926FFF" w:rsidRPr="00942967" w:rsidRDefault="00926FFF" w:rsidP="00926FFF">
      <w:pPr>
        <w:ind w:firstLine="720"/>
        <w:rPr>
          <w:rFonts w:ascii="Times New Roman" w:eastAsia="Times New Roman" w:hAnsi="Times New Roman" w:cs="Times New Roman"/>
          <w:sz w:val="24"/>
          <w:szCs w:val="24"/>
          <w:lang w:val="en-US"/>
        </w:rPr>
      </w:pPr>
      <w:r w:rsidRPr="00942967">
        <w:rPr>
          <w:rFonts w:ascii="Times New Roman" w:eastAsia="Times New Roman" w:hAnsi="Times New Roman" w:cs="Times New Roman"/>
          <w:sz w:val="24"/>
          <w:szCs w:val="24"/>
          <w:lang w:val="en-US"/>
        </w:rPr>
        <w:t>The largest loss on the HSI this week was from T-Mobile US, Inc. (TMUS: NASDAQ). T-Mobile</w:t>
      </w:r>
      <w:r w:rsidR="006A4163">
        <w:rPr>
          <w:rFonts w:ascii="Times New Roman" w:eastAsia="Times New Roman" w:hAnsi="Times New Roman" w:cs="Times New Roman"/>
          <w:sz w:val="24"/>
          <w:szCs w:val="24"/>
          <w:lang w:val="en-US"/>
        </w:rPr>
        <w:t>’</w:t>
      </w:r>
      <w:r w:rsidRPr="00942967">
        <w:rPr>
          <w:rFonts w:ascii="Times New Roman" w:eastAsia="Times New Roman" w:hAnsi="Times New Roman" w:cs="Times New Roman"/>
          <w:sz w:val="24"/>
          <w:szCs w:val="24"/>
          <w:lang w:val="en-US"/>
        </w:rPr>
        <w:t>s share price dropped from $163.64 to $148.58, a percentage change of 9.20%. On Thursday, October 8th, SpaceX agreed to acquire nationwide 800 MHz spectrum licenses from Grain Management, which it plans to pair with its Starlink satellite network. The deal could position SpaceX as a new competitor in mobile service, and shares of AT&amp;T and Verizon also fell sharply on the news. By midday Friday, T-Mobile was on pace for its steepest one-day decline since it began trading under the T-Mobile name in 2013. The purchase still requires FCC approval, but the prospect of a well-funded new entrant may have led investors to reassess the pricing power and subscriber growth of the established carriers. The second largest loss on the HSI this week was from Charter Communications, Inc. (CHTR: NASDAQ). Charter saw a decrease in price from $109.29 to $103.38, a percentage decrease of 5.41%.</w:t>
      </w:r>
    </w:p>
    <w:p w14:paraId="6447FDC3" w14:textId="77777777" w:rsidR="00926FFF" w:rsidRPr="005043E7" w:rsidRDefault="00926FFF" w:rsidP="00926FFF">
      <w:pPr>
        <w:rPr>
          <w:rFonts w:ascii="Times New Roman" w:eastAsia="Times New Roman" w:hAnsi="Times New Roman" w:cs="Times New Roman"/>
          <w:sz w:val="24"/>
          <w:szCs w:val="24"/>
          <w:lang w:val="en-US"/>
        </w:rPr>
      </w:pPr>
    </w:p>
    <w:p w14:paraId="38DF0F29" w14:textId="77777777" w:rsidR="00926FFF" w:rsidRPr="00045B69" w:rsidRDefault="00926FFF" w:rsidP="00926FFF">
      <w:pPr>
        <w:rPr>
          <w:rFonts w:ascii="Times New Roman" w:eastAsia="Times New Roman" w:hAnsi="Times New Roman" w:cs="Times New Roman"/>
          <w:sz w:val="24"/>
          <w:szCs w:val="24"/>
        </w:rPr>
      </w:pPr>
    </w:p>
    <w:p w14:paraId="60557242" w14:textId="77777777" w:rsidR="00926FFF" w:rsidRPr="00045B69" w:rsidRDefault="00926FFF" w:rsidP="00926FFF">
      <w:pPr>
        <w:rPr>
          <w:rFonts w:ascii="Times New Roman" w:eastAsia="Times New Roman" w:hAnsi="Times New Roman" w:cs="Times New Roman"/>
          <w:sz w:val="24"/>
          <w:szCs w:val="24"/>
        </w:rPr>
      </w:pPr>
    </w:p>
    <w:p w14:paraId="490D2A10" w14:textId="77777777" w:rsidR="00926FFF" w:rsidRPr="00045B69" w:rsidRDefault="00926FFF" w:rsidP="00926FFF">
      <w:pPr>
        <w:rPr>
          <w:rFonts w:ascii="Times New Roman" w:eastAsia="Times New Roman" w:hAnsi="Times New Roman" w:cs="Times New Roman"/>
          <w:sz w:val="24"/>
          <w:szCs w:val="24"/>
        </w:rPr>
      </w:pPr>
    </w:p>
    <w:p w14:paraId="19138AB8" w14:textId="77777777" w:rsidR="00926FFF" w:rsidRPr="00045B69" w:rsidRDefault="00926FFF" w:rsidP="00926FFF">
      <w:pPr>
        <w:rPr>
          <w:rFonts w:ascii="Times New Roman" w:eastAsia="Times New Roman" w:hAnsi="Times New Roman" w:cs="Times New Roman"/>
          <w:sz w:val="24"/>
          <w:szCs w:val="24"/>
        </w:rPr>
      </w:pPr>
    </w:p>
    <w:p w14:paraId="1DBD85B2" w14:textId="77777777" w:rsidR="00926FFF" w:rsidRDefault="00926FFF" w:rsidP="00926FFF">
      <w:pPr>
        <w:rPr>
          <w:rFonts w:ascii="Times New Roman" w:eastAsia="Times New Roman" w:hAnsi="Times New Roman" w:cs="Times New Roman"/>
          <w:sz w:val="24"/>
          <w:szCs w:val="24"/>
        </w:rPr>
      </w:pPr>
    </w:p>
    <w:p w14:paraId="0ABEB0C5" w14:textId="77777777" w:rsidR="00926FFF" w:rsidRPr="00045B69" w:rsidRDefault="00926FFF" w:rsidP="00926FFF">
      <w:pPr>
        <w:rPr>
          <w:rFonts w:ascii="Times New Roman" w:eastAsia="Times New Roman" w:hAnsi="Times New Roman" w:cs="Times New Roman"/>
          <w:b/>
          <w:bCs/>
          <w:sz w:val="24"/>
          <w:szCs w:val="24"/>
          <w:lang w:val="en-US"/>
        </w:rPr>
      </w:pPr>
    </w:p>
    <w:p w14:paraId="50902465" w14:textId="77777777" w:rsidR="00926FFF" w:rsidRPr="00045B69" w:rsidRDefault="00926FFF" w:rsidP="00926FFF">
      <w:pPr>
        <w:jc w:val="center"/>
        <w:rPr>
          <w:rFonts w:ascii="Times New Roman" w:eastAsia="Times New Roman" w:hAnsi="Times New Roman" w:cs="Times New Roman"/>
          <w:b/>
          <w:bCs/>
          <w:sz w:val="24"/>
          <w:szCs w:val="24"/>
        </w:rPr>
      </w:pPr>
      <w:r w:rsidRPr="00045B69">
        <w:rPr>
          <w:rFonts w:ascii="Times New Roman" w:eastAsia="Times New Roman" w:hAnsi="Times New Roman" w:cs="Times New Roman"/>
          <w:b/>
          <w:bCs/>
          <w:sz w:val="24"/>
          <w:szCs w:val="24"/>
        </w:rPr>
        <w:lastRenderedPageBreak/>
        <w:t>Overview</w:t>
      </w:r>
    </w:p>
    <w:p w14:paraId="44D124B0" w14:textId="77777777" w:rsidR="00926FFF" w:rsidRPr="00045B69" w:rsidRDefault="00926FFF" w:rsidP="00926FFF">
      <w:pPr>
        <w:ind w:firstLine="720"/>
        <w:rPr>
          <w:rFonts w:ascii="Times New Roman" w:eastAsia="Times New Roman" w:hAnsi="Times New Roman" w:cs="Times New Roman"/>
          <w:sz w:val="24"/>
          <w:szCs w:val="24"/>
        </w:rPr>
      </w:pPr>
      <w:r w:rsidRPr="00045B69">
        <w:rPr>
          <w:rFonts w:ascii="Times New Roman" w:eastAsia="Times New Roman" w:hAnsi="Times New Roman" w:cs="Times New Roman"/>
          <w:sz w:val="24"/>
          <w:szCs w:val="24"/>
        </w:rPr>
        <w:t>The HSI was developed by Marie Kenney, while a student at Husson University, in consultation with Associate Professor J. Douglas Wellington. The index is currently being tracked and analyzed by Husson student Cooper Grondin under the supervision of the Associate Professor of Finance, Dr. Jia Liu. The HSI currently tracks and analyzes the stocks of 24 companies that are considered to impact the Maine economy. These companies are either based in Maine or have an influence on the Maine economy through employment or consumer spending. This price-weighted index offers a numerical breakdown of Maine’s economy. The analysis investigates the events of the week and finds the likely reasons the index went up or down. This index and analysis help provide a better understanding of Maine’s economy as well as explain significant changes in stock prices of the companies that comprise the HSI.</w:t>
      </w:r>
    </w:p>
    <w:p w14:paraId="2679404B" w14:textId="77777777" w:rsidR="00926FFF" w:rsidRPr="002F53BC" w:rsidRDefault="00926FFF" w:rsidP="00926FFF">
      <w:pPr>
        <w:rPr>
          <w:rFonts w:ascii="Times New Roman" w:eastAsia="Times New Roman" w:hAnsi="Times New Roman" w:cs="Times New Roman"/>
        </w:rPr>
      </w:pPr>
    </w:p>
    <w:p w14:paraId="14A4343F" w14:textId="77777777" w:rsidR="00926FFF" w:rsidRPr="002F53BC" w:rsidRDefault="00926FFF" w:rsidP="00926FFF">
      <w:pPr>
        <w:rPr>
          <w:rFonts w:ascii="Times New Roman" w:eastAsia="Times New Roman" w:hAnsi="Times New Roman" w:cs="Times New Roman"/>
        </w:rPr>
      </w:pPr>
    </w:p>
    <w:p w14:paraId="7A7514CC" w14:textId="77777777" w:rsidR="00926FFF" w:rsidRPr="002F53BC" w:rsidRDefault="00926FFF" w:rsidP="00926FFF">
      <w:pPr>
        <w:rPr>
          <w:rFonts w:ascii="Times New Roman" w:eastAsia="Times New Roman" w:hAnsi="Times New Roman" w:cs="Times New Roman"/>
        </w:rPr>
      </w:pPr>
    </w:p>
    <w:p w14:paraId="78ABD3FC" w14:textId="77777777" w:rsidR="00926FFF" w:rsidRPr="002F53BC" w:rsidRDefault="00926FFF" w:rsidP="00926FFF">
      <w:pPr>
        <w:rPr>
          <w:rFonts w:ascii="Times New Roman" w:eastAsia="Times New Roman" w:hAnsi="Times New Roman" w:cs="Times New Roman"/>
        </w:rPr>
      </w:pPr>
    </w:p>
    <w:p w14:paraId="72F070BE" w14:textId="77777777" w:rsidR="00926FFF" w:rsidRPr="002F53BC" w:rsidRDefault="00926FFF" w:rsidP="00926FFF">
      <w:pPr>
        <w:rPr>
          <w:rFonts w:ascii="Times New Roman" w:eastAsia="Times New Roman" w:hAnsi="Times New Roman" w:cs="Times New Roman"/>
        </w:rPr>
      </w:pPr>
    </w:p>
    <w:p w14:paraId="0D220F27" w14:textId="77777777" w:rsidR="00926FFF" w:rsidRPr="002F53BC" w:rsidRDefault="00926FFF" w:rsidP="00926FFF">
      <w:pPr>
        <w:rPr>
          <w:rFonts w:ascii="Times New Roman" w:eastAsia="Times New Roman" w:hAnsi="Times New Roman" w:cs="Times New Roman"/>
        </w:rPr>
      </w:pPr>
    </w:p>
    <w:p w14:paraId="6EAC14D2" w14:textId="77777777" w:rsidR="00926FFF" w:rsidRPr="002F53BC" w:rsidRDefault="00926FFF" w:rsidP="00926FFF">
      <w:pPr>
        <w:rPr>
          <w:rFonts w:ascii="Times New Roman" w:eastAsia="Times New Roman" w:hAnsi="Times New Roman" w:cs="Times New Roman"/>
        </w:rPr>
      </w:pPr>
    </w:p>
    <w:p w14:paraId="5AA7AB55" w14:textId="77777777" w:rsidR="00926FFF" w:rsidRPr="002F53BC" w:rsidRDefault="00926FFF" w:rsidP="00926FFF">
      <w:pPr>
        <w:rPr>
          <w:rFonts w:ascii="Times New Roman" w:eastAsia="Times New Roman" w:hAnsi="Times New Roman" w:cs="Times New Roman"/>
        </w:rPr>
      </w:pPr>
    </w:p>
    <w:p w14:paraId="6D64BD35" w14:textId="77777777" w:rsidR="00926FFF" w:rsidRPr="002F53BC" w:rsidRDefault="00926FFF" w:rsidP="00926FFF">
      <w:pPr>
        <w:rPr>
          <w:rFonts w:ascii="Times New Roman" w:eastAsia="Times New Roman" w:hAnsi="Times New Roman" w:cs="Times New Roman"/>
        </w:rPr>
      </w:pPr>
    </w:p>
    <w:p w14:paraId="4CBB9895" w14:textId="77777777" w:rsidR="00926FFF" w:rsidRPr="002F53BC" w:rsidRDefault="00926FFF" w:rsidP="00926FFF">
      <w:pPr>
        <w:rPr>
          <w:rFonts w:ascii="Times New Roman" w:eastAsia="Times New Roman" w:hAnsi="Times New Roman" w:cs="Times New Roman"/>
        </w:rPr>
      </w:pPr>
    </w:p>
    <w:p w14:paraId="53D96F8F" w14:textId="77777777" w:rsidR="00926FFF" w:rsidRPr="002F53BC" w:rsidRDefault="00926FFF" w:rsidP="00926FFF">
      <w:pPr>
        <w:rPr>
          <w:rFonts w:ascii="Times New Roman" w:eastAsia="Times New Roman" w:hAnsi="Times New Roman" w:cs="Times New Roman"/>
        </w:rPr>
      </w:pPr>
    </w:p>
    <w:p w14:paraId="57999C36" w14:textId="77777777" w:rsidR="00926FFF" w:rsidRPr="002F53BC" w:rsidRDefault="00926FFF" w:rsidP="00926FFF">
      <w:pPr>
        <w:rPr>
          <w:rFonts w:ascii="Times New Roman" w:eastAsia="Times New Roman" w:hAnsi="Times New Roman" w:cs="Times New Roman"/>
        </w:rPr>
      </w:pPr>
    </w:p>
    <w:p w14:paraId="3B0AA699" w14:textId="77777777" w:rsidR="00926FFF" w:rsidRPr="002F53BC" w:rsidRDefault="00926FFF" w:rsidP="00926FFF">
      <w:pPr>
        <w:rPr>
          <w:rFonts w:ascii="Times New Roman" w:eastAsia="Times New Roman" w:hAnsi="Times New Roman" w:cs="Times New Roman"/>
        </w:rPr>
      </w:pPr>
    </w:p>
    <w:p w14:paraId="22A61366" w14:textId="77777777" w:rsidR="00926FFF" w:rsidRPr="002F53BC" w:rsidRDefault="00926FFF" w:rsidP="00926FFF">
      <w:pPr>
        <w:rPr>
          <w:rFonts w:ascii="Times New Roman" w:eastAsia="Times New Roman" w:hAnsi="Times New Roman" w:cs="Times New Roman"/>
        </w:rPr>
      </w:pPr>
    </w:p>
    <w:p w14:paraId="58430566" w14:textId="77777777" w:rsidR="00926FFF" w:rsidRPr="002F53BC" w:rsidRDefault="00926FFF" w:rsidP="00926FFF">
      <w:pPr>
        <w:rPr>
          <w:rFonts w:ascii="Times New Roman" w:eastAsia="Times New Roman" w:hAnsi="Times New Roman" w:cs="Times New Roman"/>
        </w:rPr>
      </w:pPr>
    </w:p>
    <w:p w14:paraId="1E32EFA0" w14:textId="77777777" w:rsidR="00926FFF" w:rsidRPr="002F53BC" w:rsidRDefault="00926FFF" w:rsidP="00926FFF">
      <w:pPr>
        <w:rPr>
          <w:rFonts w:ascii="Times New Roman" w:eastAsia="Times New Roman" w:hAnsi="Times New Roman" w:cs="Times New Roman"/>
        </w:rPr>
      </w:pPr>
    </w:p>
    <w:p w14:paraId="231F913D" w14:textId="77777777" w:rsidR="00926FFF" w:rsidRPr="002F53BC" w:rsidRDefault="00926FFF" w:rsidP="00926FFF">
      <w:pPr>
        <w:rPr>
          <w:rFonts w:ascii="Times New Roman" w:eastAsia="Times New Roman" w:hAnsi="Times New Roman" w:cs="Times New Roman"/>
        </w:rPr>
      </w:pPr>
    </w:p>
    <w:p w14:paraId="0D1388E9" w14:textId="77777777" w:rsidR="00926FFF" w:rsidRPr="002F53BC" w:rsidRDefault="00926FFF" w:rsidP="00926FFF">
      <w:pPr>
        <w:rPr>
          <w:rFonts w:ascii="Times New Roman" w:eastAsia="Times New Roman" w:hAnsi="Times New Roman" w:cs="Times New Roman"/>
        </w:rPr>
      </w:pPr>
    </w:p>
    <w:p w14:paraId="41780B84" w14:textId="77777777" w:rsidR="00926FFF" w:rsidRPr="002F53BC" w:rsidRDefault="00926FFF" w:rsidP="00926FFF">
      <w:pPr>
        <w:rPr>
          <w:rFonts w:ascii="Times New Roman" w:eastAsia="Times New Roman" w:hAnsi="Times New Roman" w:cs="Times New Roman"/>
        </w:rPr>
      </w:pPr>
    </w:p>
    <w:p w14:paraId="355E9BA0" w14:textId="77777777" w:rsidR="00926FFF" w:rsidRPr="002F53BC" w:rsidRDefault="00926FFF" w:rsidP="00926FFF">
      <w:pPr>
        <w:rPr>
          <w:rFonts w:ascii="Times New Roman" w:eastAsia="Times New Roman" w:hAnsi="Times New Roman" w:cs="Times New Roman"/>
        </w:rPr>
      </w:pPr>
    </w:p>
    <w:p w14:paraId="09850658" w14:textId="77777777" w:rsidR="00926FFF" w:rsidRPr="002F53BC" w:rsidRDefault="00926FFF" w:rsidP="00926FFF">
      <w:pPr>
        <w:rPr>
          <w:rFonts w:ascii="Times New Roman" w:eastAsia="Times New Roman" w:hAnsi="Times New Roman" w:cs="Times New Roman"/>
        </w:rPr>
      </w:pPr>
    </w:p>
    <w:p w14:paraId="4F5120CE" w14:textId="77777777" w:rsidR="00926FFF" w:rsidRPr="002F53BC" w:rsidRDefault="00926FFF" w:rsidP="00926FFF">
      <w:pPr>
        <w:rPr>
          <w:rFonts w:ascii="Times New Roman" w:eastAsia="Times New Roman" w:hAnsi="Times New Roman" w:cs="Times New Roman"/>
        </w:rPr>
      </w:pPr>
    </w:p>
    <w:p w14:paraId="76645992" w14:textId="77777777" w:rsidR="00926FFF" w:rsidRPr="002F53BC" w:rsidRDefault="00926FFF" w:rsidP="00926FFF">
      <w:pPr>
        <w:rPr>
          <w:rFonts w:ascii="Times New Roman" w:eastAsia="Times New Roman" w:hAnsi="Times New Roman" w:cs="Times New Roman"/>
        </w:rPr>
      </w:pPr>
    </w:p>
    <w:p w14:paraId="02CD34F9" w14:textId="77777777" w:rsidR="00926FFF" w:rsidRPr="002F53BC" w:rsidRDefault="00926FFF" w:rsidP="00926FFF">
      <w:pPr>
        <w:rPr>
          <w:rFonts w:ascii="Times New Roman" w:eastAsia="Times New Roman" w:hAnsi="Times New Roman" w:cs="Times New Roman"/>
        </w:rPr>
      </w:pPr>
    </w:p>
    <w:p w14:paraId="1575DC8C" w14:textId="77777777" w:rsidR="00926FFF" w:rsidRPr="002F53BC" w:rsidRDefault="00926FFF" w:rsidP="00926FFF">
      <w:pPr>
        <w:rPr>
          <w:rFonts w:ascii="Times New Roman" w:eastAsia="Times New Roman" w:hAnsi="Times New Roman" w:cs="Times New Roman"/>
        </w:rPr>
      </w:pPr>
    </w:p>
    <w:p w14:paraId="659AA127" w14:textId="77777777" w:rsidR="00926FFF" w:rsidRDefault="00926FFF" w:rsidP="00926FFF">
      <w:pPr>
        <w:rPr>
          <w:rFonts w:ascii="Times New Roman" w:eastAsia="Times New Roman" w:hAnsi="Times New Roman" w:cs="Times New Roman"/>
        </w:rPr>
      </w:pPr>
    </w:p>
    <w:p w14:paraId="78255225" w14:textId="77777777" w:rsidR="00926FFF" w:rsidRPr="002F53BC" w:rsidRDefault="00926FFF" w:rsidP="00926FFF">
      <w:pPr>
        <w:rPr>
          <w:rFonts w:ascii="Times New Roman" w:eastAsia="Times New Roman" w:hAnsi="Times New Roman" w:cs="Times New Roman"/>
        </w:rPr>
      </w:pPr>
    </w:p>
    <w:p w14:paraId="4ACD54BF" w14:textId="77777777" w:rsidR="00926FFF" w:rsidRPr="002F53BC" w:rsidRDefault="00926FFF" w:rsidP="00926FFF">
      <w:pPr>
        <w:rPr>
          <w:rFonts w:ascii="Times New Roman" w:eastAsia="Times New Roman" w:hAnsi="Times New Roman" w:cs="Times New Roman"/>
        </w:rPr>
      </w:pPr>
    </w:p>
    <w:p w14:paraId="4238EE3E" w14:textId="77777777" w:rsidR="00926FFF" w:rsidRPr="002F53BC" w:rsidRDefault="00926FFF" w:rsidP="00926FFF">
      <w:pPr>
        <w:rPr>
          <w:rFonts w:ascii="Times New Roman" w:eastAsia="Times New Roman" w:hAnsi="Times New Roman" w:cs="Times New Roman"/>
        </w:rPr>
      </w:pPr>
    </w:p>
    <w:p w14:paraId="1D18859C" w14:textId="77777777" w:rsidR="00926FFF" w:rsidRDefault="00926FFF" w:rsidP="00926FFF">
      <w:pPr>
        <w:rPr>
          <w:rFonts w:ascii="Times New Roman" w:eastAsia="Times New Roman" w:hAnsi="Times New Roman" w:cs="Times New Roman"/>
        </w:rPr>
      </w:pPr>
    </w:p>
    <w:p w14:paraId="50CA7748" w14:textId="77777777" w:rsidR="00926FFF" w:rsidRPr="002F53BC" w:rsidRDefault="00926FFF" w:rsidP="00926FFF">
      <w:pPr>
        <w:rPr>
          <w:rFonts w:ascii="Times New Roman" w:eastAsia="Times New Roman" w:hAnsi="Times New Roman" w:cs="Times New Roman"/>
        </w:rPr>
      </w:pPr>
    </w:p>
    <w:p w14:paraId="024ED52F" w14:textId="77777777" w:rsidR="00926FFF" w:rsidRPr="002F53BC" w:rsidRDefault="00926FFF" w:rsidP="00926FFF">
      <w:pPr>
        <w:rPr>
          <w:rFonts w:ascii="Times New Roman" w:eastAsia="Times New Roman" w:hAnsi="Times New Roman" w:cs="Times New Roman"/>
        </w:rPr>
      </w:pPr>
    </w:p>
    <w:p w14:paraId="25551F41" w14:textId="77777777" w:rsidR="00926FFF" w:rsidRDefault="00926FFF" w:rsidP="00926FFF">
      <w:pPr>
        <w:jc w:val="center"/>
        <w:rPr>
          <w:rFonts w:ascii="Times New Roman" w:eastAsia="Times New Roman" w:hAnsi="Times New Roman" w:cs="Times New Roman"/>
          <w:b/>
          <w:bCs/>
          <w:lang w:val="en-US"/>
        </w:rPr>
      </w:pPr>
      <w:r w:rsidRPr="002F53BC">
        <w:rPr>
          <w:rFonts w:ascii="Times New Roman" w:eastAsia="Times New Roman" w:hAnsi="Times New Roman" w:cs="Times New Roman"/>
          <w:b/>
          <w:bCs/>
          <w:lang w:val="en-US"/>
        </w:rPr>
        <w:lastRenderedPageBreak/>
        <w:t>References</w:t>
      </w:r>
    </w:p>
    <w:p w14:paraId="4D9CB66A" w14:textId="77777777" w:rsidR="00926FFF" w:rsidRPr="000675F6" w:rsidRDefault="00926FFF" w:rsidP="00926FFF">
      <w:pPr>
        <w:ind w:left="720" w:hanging="720"/>
        <w:rPr>
          <w:rFonts w:ascii="Times New Roman" w:eastAsia="Times New Roman" w:hAnsi="Times New Roman" w:cs="Times New Roman"/>
          <w:sz w:val="24"/>
          <w:szCs w:val="24"/>
          <w:lang w:val="en-US"/>
        </w:rPr>
      </w:pPr>
      <w:proofErr w:type="spellStart"/>
      <w:r w:rsidRPr="000675F6">
        <w:rPr>
          <w:rFonts w:ascii="Times New Roman" w:eastAsia="Times New Roman" w:hAnsi="Times New Roman" w:cs="Times New Roman"/>
          <w:sz w:val="24"/>
          <w:szCs w:val="24"/>
          <w:lang w:val="en-US"/>
        </w:rPr>
        <w:t>Cingari</w:t>
      </w:r>
      <w:proofErr w:type="spellEnd"/>
      <w:r w:rsidRPr="000675F6">
        <w:rPr>
          <w:rFonts w:ascii="Times New Roman" w:eastAsia="Times New Roman" w:hAnsi="Times New Roman" w:cs="Times New Roman"/>
          <w:sz w:val="24"/>
          <w:szCs w:val="24"/>
          <w:lang w:val="en-US"/>
        </w:rPr>
        <w:t xml:space="preserve">, P. (2026, October 9). T-Mobile stock has worst day since 2013 on SpaceX deal. </w:t>
      </w:r>
      <w:r w:rsidRPr="000675F6">
        <w:rPr>
          <w:rFonts w:ascii="Times New Roman" w:eastAsia="Times New Roman" w:hAnsi="Times New Roman" w:cs="Times New Roman"/>
          <w:i/>
          <w:iCs/>
          <w:sz w:val="24"/>
          <w:szCs w:val="24"/>
          <w:lang w:val="en-US"/>
        </w:rPr>
        <w:t>Benzinga</w:t>
      </w:r>
      <w:r w:rsidRPr="000675F6">
        <w:rPr>
          <w:rFonts w:ascii="Times New Roman" w:eastAsia="Times New Roman" w:hAnsi="Times New Roman" w:cs="Times New Roman"/>
          <w:sz w:val="24"/>
          <w:szCs w:val="24"/>
          <w:lang w:val="en-US"/>
        </w:rPr>
        <w:t>. https://www.benzinga.com/markets/tech/26/10/62279551/t-mobile-stock-worst-day-since-2013-spacex-spectrum-deal</w:t>
      </w:r>
    </w:p>
    <w:p w14:paraId="100EDB06" w14:textId="77777777" w:rsidR="00926FFF" w:rsidRPr="000675F6" w:rsidRDefault="00926FFF" w:rsidP="00926FFF">
      <w:pPr>
        <w:ind w:left="720" w:hanging="720"/>
        <w:rPr>
          <w:rFonts w:ascii="Times New Roman" w:eastAsia="Times New Roman" w:hAnsi="Times New Roman" w:cs="Times New Roman"/>
          <w:sz w:val="24"/>
          <w:szCs w:val="24"/>
          <w:lang w:val="en-US"/>
        </w:rPr>
      </w:pPr>
      <w:r w:rsidRPr="000675F6">
        <w:rPr>
          <w:rFonts w:ascii="Times New Roman" w:eastAsia="Times New Roman" w:hAnsi="Times New Roman" w:cs="Times New Roman"/>
          <w:sz w:val="24"/>
          <w:szCs w:val="24"/>
          <w:lang w:val="en-US"/>
        </w:rPr>
        <w:t xml:space="preserve">Compton, S. (2026, September 16). Walmart launches weeklong fall sale overlapping Amazon Prime Big Deal Days. </w:t>
      </w:r>
      <w:r w:rsidRPr="000675F6">
        <w:rPr>
          <w:rFonts w:ascii="Times New Roman" w:eastAsia="Times New Roman" w:hAnsi="Times New Roman" w:cs="Times New Roman"/>
          <w:i/>
          <w:iCs/>
          <w:sz w:val="24"/>
          <w:szCs w:val="24"/>
          <w:lang w:val="en-US"/>
        </w:rPr>
        <w:t>Fox Business</w:t>
      </w:r>
      <w:r w:rsidRPr="000675F6">
        <w:rPr>
          <w:rFonts w:ascii="Times New Roman" w:eastAsia="Times New Roman" w:hAnsi="Times New Roman" w:cs="Times New Roman"/>
          <w:sz w:val="24"/>
          <w:szCs w:val="24"/>
          <w:lang w:val="en-US"/>
        </w:rPr>
        <w:t>. https://www.foxbusiness.com/retail/walmart-launches-weeklong-fall-sale-overlapping-amazon-prime-big-deal-days</w:t>
      </w:r>
    </w:p>
    <w:p w14:paraId="24F538D8" w14:textId="77777777" w:rsidR="00926FFF" w:rsidRPr="000675F6" w:rsidRDefault="00926FFF" w:rsidP="00926FFF">
      <w:pPr>
        <w:ind w:left="720" w:hanging="720"/>
        <w:rPr>
          <w:rFonts w:ascii="Times New Roman" w:eastAsia="Times New Roman" w:hAnsi="Times New Roman" w:cs="Times New Roman"/>
          <w:sz w:val="24"/>
          <w:szCs w:val="24"/>
          <w:lang w:val="en-US"/>
        </w:rPr>
      </w:pPr>
      <w:r w:rsidRPr="000675F6">
        <w:rPr>
          <w:rFonts w:ascii="Times New Roman" w:eastAsia="Times New Roman" w:hAnsi="Times New Roman" w:cs="Times New Roman"/>
          <w:sz w:val="24"/>
          <w:szCs w:val="24"/>
          <w:lang w:val="en-US"/>
        </w:rPr>
        <w:t xml:space="preserve">Walmart releases Q2 FY27 earnings. (2026, August 20). </w:t>
      </w:r>
      <w:r w:rsidRPr="000675F6">
        <w:rPr>
          <w:rFonts w:ascii="Times New Roman" w:eastAsia="Times New Roman" w:hAnsi="Times New Roman" w:cs="Times New Roman"/>
          <w:i/>
          <w:iCs/>
          <w:sz w:val="24"/>
          <w:szCs w:val="24"/>
          <w:lang w:val="en-US"/>
        </w:rPr>
        <w:t>Walmart Inc.</w:t>
      </w:r>
      <w:r w:rsidRPr="000675F6">
        <w:rPr>
          <w:rFonts w:ascii="Times New Roman" w:eastAsia="Times New Roman" w:hAnsi="Times New Roman" w:cs="Times New Roman"/>
          <w:sz w:val="24"/>
          <w:szCs w:val="24"/>
          <w:lang w:val="en-US"/>
        </w:rPr>
        <w:t xml:space="preserve"> https://corporate.walmart.com/news/2026/08/20/walmart-releases-q2-fy27-earnings</w:t>
      </w:r>
    </w:p>
    <w:p w14:paraId="6E926AC4" w14:textId="77777777" w:rsidR="00926FFF" w:rsidRPr="00763145" w:rsidRDefault="00926FFF" w:rsidP="00926FFF">
      <w:pPr>
        <w:jc w:val="center"/>
        <w:rPr>
          <w:rFonts w:ascii="Times New Roman" w:eastAsia="Times New Roman" w:hAnsi="Times New Roman" w:cs="Times New Roman"/>
          <w:b/>
          <w:bCs/>
          <w:lang w:val="en-US"/>
        </w:rPr>
      </w:pPr>
    </w:p>
    <w:p w14:paraId="0216D92B" w14:textId="77777777" w:rsidR="00926FFF" w:rsidRPr="002F53BC" w:rsidRDefault="00926FFF" w:rsidP="00926FFF">
      <w:pPr>
        <w:rPr>
          <w:rFonts w:ascii="Times New Roman" w:eastAsia="Times New Roman" w:hAnsi="Times New Roman" w:cs="Times New Roman"/>
        </w:rPr>
      </w:pPr>
    </w:p>
    <w:p w14:paraId="4195F2C1" w14:textId="77777777" w:rsidR="00926FFF" w:rsidRPr="002F53BC" w:rsidRDefault="00926FFF" w:rsidP="00926FFF">
      <w:pPr>
        <w:rPr>
          <w:rFonts w:ascii="Times New Roman" w:eastAsia="Times New Roman" w:hAnsi="Times New Roman" w:cs="Times New Roman"/>
        </w:rPr>
      </w:pPr>
    </w:p>
    <w:p w14:paraId="308EAF6E" w14:textId="77777777" w:rsidR="00926FFF" w:rsidRPr="002F53BC" w:rsidRDefault="00926FFF" w:rsidP="00926FFF">
      <w:pPr>
        <w:rPr>
          <w:rFonts w:ascii="Times New Roman" w:eastAsia="Times New Roman" w:hAnsi="Times New Roman" w:cs="Times New Roman"/>
        </w:rPr>
      </w:pPr>
    </w:p>
    <w:p w14:paraId="6CECED38" w14:textId="77777777" w:rsidR="00926FFF" w:rsidRPr="002F53BC" w:rsidRDefault="00926FFF" w:rsidP="00926FFF">
      <w:pPr>
        <w:rPr>
          <w:rFonts w:ascii="Times New Roman" w:eastAsia="Times New Roman" w:hAnsi="Times New Roman" w:cs="Times New Roman"/>
        </w:rPr>
      </w:pPr>
    </w:p>
    <w:p w14:paraId="58556A83" w14:textId="77777777" w:rsidR="00926FFF" w:rsidRPr="002F53BC" w:rsidRDefault="00926FFF" w:rsidP="00926FFF">
      <w:pPr>
        <w:rPr>
          <w:rFonts w:ascii="Times New Roman" w:eastAsia="Times New Roman" w:hAnsi="Times New Roman" w:cs="Times New Roman"/>
        </w:rPr>
      </w:pPr>
    </w:p>
    <w:p w14:paraId="5FE41674" w14:textId="77777777" w:rsidR="00926FFF" w:rsidRPr="002F53BC" w:rsidRDefault="00926FFF" w:rsidP="00926FFF">
      <w:pPr>
        <w:rPr>
          <w:rFonts w:ascii="Times New Roman" w:eastAsia="Times New Roman" w:hAnsi="Times New Roman" w:cs="Times New Roman"/>
        </w:rPr>
      </w:pPr>
    </w:p>
    <w:p w14:paraId="4C3E4B70" w14:textId="77777777" w:rsidR="00926FFF" w:rsidRPr="002F53BC" w:rsidRDefault="00926FFF" w:rsidP="00926FFF">
      <w:pPr>
        <w:rPr>
          <w:rFonts w:ascii="Times New Roman" w:eastAsia="Times New Roman" w:hAnsi="Times New Roman" w:cs="Times New Roman"/>
        </w:rPr>
      </w:pPr>
    </w:p>
    <w:p w14:paraId="0CE0E5BA" w14:textId="77777777" w:rsidR="00926FFF" w:rsidRPr="002F53BC" w:rsidRDefault="00926FFF" w:rsidP="00926FFF">
      <w:pPr>
        <w:rPr>
          <w:rFonts w:ascii="Times New Roman" w:eastAsia="Times New Roman" w:hAnsi="Times New Roman" w:cs="Times New Roman"/>
        </w:rPr>
      </w:pPr>
    </w:p>
    <w:p w14:paraId="2AD9C279" w14:textId="77777777" w:rsidR="00926FFF" w:rsidRPr="002F53BC" w:rsidRDefault="00926FFF" w:rsidP="00926FFF">
      <w:pPr>
        <w:rPr>
          <w:rFonts w:ascii="Times New Roman" w:eastAsia="Times New Roman" w:hAnsi="Times New Roman" w:cs="Times New Roman"/>
        </w:rPr>
      </w:pPr>
    </w:p>
    <w:p w14:paraId="7F0674BE" w14:textId="77777777" w:rsidR="00926FFF" w:rsidRPr="002F53BC" w:rsidRDefault="00926FFF" w:rsidP="00926FFF">
      <w:pPr>
        <w:rPr>
          <w:rFonts w:ascii="Times New Roman" w:eastAsia="Times New Roman" w:hAnsi="Times New Roman" w:cs="Times New Roman"/>
        </w:rPr>
      </w:pPr>
    </w:p>
    <w:p w14:paraId="35B9A698" w14:textId="77777777" w:rsidR="00926FFF" w:rsidRPr="002F53BC" w:rsidRDefault="00926FFF" w:rsidP="00926FFF">
      <w:pPr>
        <w:rPr>
          <w:rFonts w:ascii="Times New Roman" w:eastAsia="Times New Roman" w:hAnsi="Times New Roman" w:cs="Times New Roman"/>
        </w:rPr>
      </w:pPr>
    </w:p>
    <w:p w14:paraId="2E38DB94" w14:textId="77777777" w:rsidR="00926FFF" w:rsidRPr="002F53BC" w:rsidRDefault="00926FFF" w:rsidP="00926FFF">
      <w:pPr>
        <w:rPr>
          <w:rFonts w:ascii="Times New Roman" w:eastAsia="Times New Roman" w:hAnsi="Times New Roman" w:cs="Times New Roman"/>
        </w:rPr>
      </w:pPr>
    </w:p>
    <w:p w14:paraId="564C85BF" w14:textId="77777777" w:rsidR="00926FFF" w:rsidRPr="002F53BC" w:rsidRDefault="00926FFF" w:rsidP="00926FFF">
      <w:pPr>
        <w:rPr>
          <w:rFonts w:ascii="Times New Roman" w:eastAsia="Times New Roman" w:hAnsi="Times New Roman" w:cs="Times New Roman"/>
        </w:rPr>
      </w:pPr>
    </w:p>
    <w:p w14:paraId="50B3C714" w14:textId="77777777" w:rsidR="00926FFF" w:rsidRPr="002F53BC" w:rsidRDefault="00926FFF" w:rsidP="00926FFF">
      <w:pPr>
        <w:rPr>
          <w:rFonts w:ascii="Times New Roman" w:eastAsia="Times New Roman" w:hAnsi="Times New Roman" w:cs="Times New Roman"/>
        </w:rPr>
      </w:pPr>
    </w:p>
    <w:p w14:paraId="1BE92A2D" w14:textId="77777777" w:rsidR="00926FFF" w:rsidRPr="002F53BC" w:rsidRDefault="00926FFF" w:rsidP="00926FFF">
      <w:pPr>
        <w:rPr>
          <w:rFonts w:ascii="Times New Roman" w:eastAsia="Times New Roman" w:hAnsi="Times New Roman" w:cs="Times New Roman"/>
        </w:rPr>
      </w:pPr>
    </w:p>
    <w:p w14:paraId="5B03C701" w14:textId="77777777" w:rsidR="00926FFF" w:rsidRPr="002F53BC" w:rsidRDefault="00926FFF" w:rsidP="00926FFF">
      <w:pPr>
        <w:rPr>
          <w:rFonts w:ascii="Times New Roman" w:eastAsia="Times New Roman" w:hAnsi="Times New Roman" w:cs="Times New Roman"/>
        </w:rPr>
      </w:pPr>
    </w:p>
    <w:p w14:paraId="3AF65638" w14:textId="77777777" w:rsidR="00926FFF" w:rsidRPr="002F53BC" w:rsidRDefault="00926FFF" w:rsidP="00926FFF">
      <w:pPr>
        <w:rPr>
          <w:rFonts w:ascii="Times New Roman" w:eastAsia="Times New Roman" w:hAnsi="Times New Roman" w:cs="Times New Roman"/>
        </w:rPr>
      </w:pPr>
    </w:p>
    <w:p w14:paraId="1756688E" w14:textId="77777777" w:rsidR="00926FFF" w:rsidRPr="002F53BC" w:rsidRDefault="00926FFF" w:rsidP="00926FFF">
      <w:pPr>
        <w:rPr>
          <w:rFonts w:ascii="Times New Roman" w:eastAsia="Times New Roman" w:hAnsi="Times New Roman" w:cs="Times New Roman"/>
        </w:rPr>
      </w:pPr>
    </w:p>
    <w:p w14:paraId="68F5CAA1" w14:textId="77777777" w:rsidR="00926FFF" w:rsidRPr="002F53BC" w:rsidRDefault="00926FFF" w:rsidP="00926FFF">
      <w:pPr>
        <w:rPr>
          <w:rFonts w:ascii="Times New Roman" w:eastAsia="Times New Roman" w:hAnsi="Times New Roman" w:cs="Times New Roman"/>
        </w:rPr>
      </w:pPr>
    </w:p>
    <w:p w14:paraId="386B616C" w14:textId="77777777" w:rsidR="00926FFF" w:rsidRPr="002F53BC" w:rsidRDefault="00926FFF" w:rsidP="00926FFF">
      <w:pPr>
        <w:rPr>
          <w:rFonts w:ascii="Times New Roman" w:eastAsia="Times New Roman" w:hAnsi="Times New Roman" w:cs="Times New Roman"/>
        </w:rPr>
      </w:pPr>
    </w:p>
    <w:p w14:paraId="0A854B66" w14:textId="77777777" w:rsidR="00926FFF" w:rsidRPr="002F53BC" w:rsidRDefault="00926FFF" w:rsidP="00926FFF">
      <w:pPr>
        <w:rPr>
          <w:rFonts w:ascii="Times New Roman" w:eastAsia="Times New Roman" w:hAnsi="Times New Roman" w:cs="Times New Roman"/>
        </w:rPr>
      </w:pPr>
    </w:p>
    <w:p w14:paraId="36AA2F65" w14:textId="77777777" w:rsidR="00926FFF" w:rsidRPr="002F53BC" w:rsidRDefault="00926FFF" w:rsidP="00926FFF">
      <w:pPr>
        <w:rPr>
          <w:rFonts w:ascii="Times New Roman" w:eastAsia="Times New Roman" w:hAnsi="Times New Roman" w:cs="Times New Roman"/>
        </w:rPr>
      </w:pPr>
    </w:p>
    <w:p w14:paraId="39E8F708" w14:textId="77777777" w:rsidR="00926FFF" w:rsidRPr="002F53BC" w:rsidRDefault="00926FFF" w:rsidP="00926FFF">
      <w:pPr>
        <w:spacing w:after="160" w:line="278" w:lineRule="auto"/>
        <w:rPr>
          <w:rFonts w:ascii="Times New Roman" w:eastAsia="Times New Roman" w:hAnsi="Times New Roman" w:cs="Times New Roman"/>
        </w:rPr>
      </w:pPr>
    </w:p>
    <w:p w14:paraId="3959B05E" w14:textId="77777777" w:rsidR="00926FFF" w:rsidRDefault="00926FFF" w:rsidP="00926FFF">
      <w:pPr>
        <w:spacing w:after="160" w:line="278" w:lineRule="auto"/>
        <w:rPr>
          <w:rFonts w:ascii="Times New Roman" w:eastAsia="Times New Roman" w:hAnsi="Times New Roman" w:cs="Times New Roman"/>
        </w:rPr>
      </w:pPr>
    </w:p>
    <w:p w14:paraId="40CFE469" w14:textId="77777777" w:rsidR="00926FFF" w:rsidRDefault="00926FFF" w:rsidP="00926FFF">
      <w:pPr>
        <w:spacing w:after="160" w:line="278" w:lineRule="auto"/>
        <w:rPr>
          <w:rFonts w:ascii="Times New Roman" w:eastAsia="Times New Roman" w:hAnsi="Times New Roman" w:cs="Times New Roman"/>
        </w:rPr>
      </w:pPr>
    </w:p>
    <w:p w14:paraId="027A56F5" w14:textId="77777777" w:rsidR="00926FFF" w:rsidRDefault="00926FFF" w:rsidP="00926FFF">
      <w:pPr>
        <w:spacing w:after="160" w:line="278" w:lineRule="auto"/>
        <w:rPr>
          <w:rFonts w:ascii="Times New Roman" w:eastAsia="Times New Roman" w:hAnsi="Times New Roman" w:cs="Times New Roman"/>
        </w:rPr>
      </w:pPr>
    </w:p>
    <w:p w14:paraId="2A669B12" w14:textId="77777777" w:rsidR="00926FFF" w:rsidRDefault="00926FFF" w:rsidP="00926FFF">
      <w:pPr>
        <w:spacing w:after="160" w:line="278" w:lineRule="auto"/>
        <w:rPr>
          <w:rFonts w:ascii="Times New Roman" w:eastAsia="Times New Roman" w:hAnsi="Times New Roman" w:cs="Times New Roman"/>
        </w:rPr>
      </w:pPr>
    </w:p>
    <w:p w14:paraId="3D57BF82" w14:textId="77777777" w:rsidR="00926FFF" w:rsidRDefault="00926FFF" w:rsidP="00926FFF">
      <w:pPr>
        <w:spacing w:after="160" w:line="278" w:lineRule="auto"/>
        <w:rPr>
          <w:rFonts w:ascii="Times New Roman" w:eastAsia="Times New Roman" w:hAnsi="Times New Roman" w:cs="Times New Roman"/>
        </w:rPr>
      </w:pPr>
    </w:p>
    <w:p w14:paraId="6A5AB105" w14:textId="77777777" w:rsidR="00926FFF" w:rsidRDefault="00926FFF" w:rsidP="00926FFF">
      <w:pPr>
        <w:rPr>
          <w:rFonts w:ascii="Times New Roman" w:eastAsia="Times New Roman" w:hAnsi="Times New Roman" w:cs="Times New Roman"/>
        </w:rPr>
      </w:pPr>
    </w:p>
    <w:p w14:paraId="34460201" w14:textId="77777777" w:rsidR="00926FFF" w:rsidRPr="002F53BC" w:rsidRDefault="00926FFF" w:rsidP="00926FFF">
      <w:pPr>
        <w:rPr>
          <w:rFonts w:ascii="Times New Roman" w:eastAsia="Times New Roman" w:hAnsi="Times New Roman" w:cs="Times New Roman"/>
        </w:rPr>
      </w:pPr>
    </w:p>
    <w:p w14:paraId="7CC7BD7F" w14:textId="77777777" w:rsidR="00926FFF" w:rsidRPr="002F53BC" w:rsidRDefault="00926FFF" w:rsidP="00926FFF">
      <w:pPr>
        <w:jc w:val="center"/>
        <w:rPr>
          <w:rFonts w:ascii="Times New Roman" w:eastAsia="Times New Roman" w:hAnsi="Times New Roman" w:cs="Times New Roman"/>
          <w:b/>
          <w:bCs/>
        </w:rPr>
      </w:pPr>
      <w:r w:rsidRPr="002F53BC">
        <w:rPr>
          <w:rFonts w:ascii="Times New Roman" w:eastAsia="Times New Roman" w:hAnsi="Times New Roman" w:cs="Times New Roman"/>
          <w:b/>
          <w:bCs/>
        </w:rPr>
        <w:lastRenderedPageBreak/>
        <w:t>Composition of Husson Stock Index (HSI)</w:t>
      </w:r>
    </w:p>
    <w:tbl>
      <w:tblPr>
        <w:tblW w:w="9360" w:type="dxa"/>
        <w:tblInd w:w="-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926FFF" w:rsidRPr="002F53BC" w14:paraId="4A85A76F" w14:textId="77777777" w:rsidTr="00E11D77">
        <w:tc>
          <w:tcPr>
            <w:tcW w:w="2340" w:type="dxa"/>
            <w:tcMar>
              <w:top w:w="100" w:type="dxa"/>
              <w:left w:w="100" w:type="dxa"/>
              <w:bottom w:w="100" w:type="dxa"/>
              <w:right w:w="100" w:type="dxa"/>
            </w:tcMar>
          </w:tcPr>
          <w:p w14:paraId="15BDA8E0" w14:textId="77777777" w:rsidR="00926FFF" w:rsidRPr="002F53BC" w:rsidRDefault="00926FFF" w:rsidP="00E11D77">
            <w:pPr>
              <w:widowControl w:val="0"/>
              <w:spacing w:line="240" w:lineRule="auto"/>
              <w:rPr>
                <w:rFonts w:ascii="Times New Roman" w:eastAsia="Times New Roman" w:hAnsi="Times New Roman" w:cs="Times New Roman"/>
                <w:b/>
                <w:bCs/>
              </w:rPr>
            </w:pPr>
            <w:r w:rsidRPr="002F53BC">
              <w:rPr>
                <w:rFonts w:ascii="Times New Roman" w:eastAsia="Times New Roman" w:hAnsi="Times New Roman" w:cs="Times New Roman"/>
                <w:b/>
                <w:bCs/>
              </w:rPr>
              <w:t>Ticker Symbol &amp; Exchange:</w:t>
            </w:r>
          </w:p>
        </w:tc>
        <w:tc>
          <w:tcPr>
            <w:tcW w:w="2340" w:type="dxa"/>
            <w:tcMar>
              <w:top w:w="100" w:type="dxa"/>
              <w:left w:w="100" w:type="dxa"/>
              <w:bottom w:w="100" w:type="dxa"/>
              <w:right w:w="100" w:type="dxa"/>
            </w:tcMar>
          </w:tcPr>
          <w:p w14:paraId="2804570B" w14:textId="77777777" w:rsidR="00926FFF" w:rsidRPr="002F53BC" w:rsidRDefault="00926FFF" w:rsidP="00E11D77">
            <w:pPr>
              <w:widowControl w:val="0"/>
              <w:spacing w:line="240" w:lineRule="auto"/>
              <w:rPr>
                <w:rFonts w:ascii="Times New Roman" w:eastAsia="Times New Roman" w:hAnsi="Times New Roman" w:cs="Times New Roman"/>
                <w:b/>
                <w:bCs/>
              </w:rPr>
            </w:pPr>
            <w:r w:rsidRPr="002F53BC">
              <w:rPr>
                <w:rFonts w:ascii="Times New Roman" w:eastAsia="Times New Roman" w:hAnsi="Times New Roman" w:cs="Times New Roman"/>
                <w:b/>
                <w:bCs/>
              </w:rPr>
              <w:t>Stock:</w:t>
            </w:r>
          </w:p>
        </w:tc>
        <w:tc>
          <w:tcPr>
            <w:tcW w:w="2340" w:type="dxa"/>
            <w:tcMar>
              <w:top w:w="100" w:type="dxa"/>
              <w:left w:w="100" w:type="dxa"/>
              <w:bottom w:w="100" w:type="dxa"/>
              <w:right w:w="100" w:type="dxa"/>
            </w:tcMar>
          </w:tcPr>
          <w:p w14:paraId="498C0747" w14:textId="77777777" w:rsidR="00926FFF" w:rsidRPr="002F53BC" w:rsidRDefault="00926FFF" w:rsidP="00E11D77">
            <w:pPr>
              <w:widowControl w:val="0"/>
              <w:spacing w:line="240" w:lineRule="auto"/>
              <w:rPr>
                <w:rFonts w:ascii="Times New Roman" w:eastAsia="Times New Roman" w:hAnsi="Times New Roman" w:cs="Times New Roman"/>
                <w:b/>
                <w:bCs/>
              </w:rPr>
            </w:pPr>
            <w:r w:rsidRPr="002F53BC">
              <w:rPr>
                <w:rFonts w:ascii="Times New Roman" w:eastAsia="Times New Roman" w:hAnsi="Times New Roman" w:cs="Times New Roman"/>
                <w:b/>
                <w:bCs/>
              </w:rPr>
              <w:t>Maine Affiliation:</w:t>
            </w:r>
          </w:p>
        </w:tc>
        <w:tc>
          <w:tcPr>
            <w:tcW w:w="2340" w:type="dxa"/>
            <w:tcMar>
              <w:top w:w="100" w:type="dxa"/>
              <w:left w:w="100" w:type="dxa"/>
              <w:bottom w:w="100" w:type="dxa"/>
              <w:right w:w="100" w:type="dxa"/>
            </w:tcMar>
          </w:tcPr>
          <w:p w14:paraId="1C00172C" w14:textId="77777777" w:rsidR="00926FFF" w:rsidRPr="002F53BC" w:rsidRDefault="00926FFF" w:rsidP="00E11D77">
            <w:pPr>
              <w:widowControl w:val="0"/>
              <w:spacing w:line="240" w:lineRule="auto"/>
              <w:rPr>
                <w:rFonts w:ascii="Times New Roman" w:eastAsia="Times New Roman" w:hAnsi="Times New Roman" w:cs="Times New Roman"/>
                <w:b/>
                <w:bCs/>
              </w:rPr>
            </w:pPr>
            <w:r w:rsidRPr="002F53BC">
              <w:rPr>
                <w:rFonts w:ascii="Times New Roman" w:eastAsia="Times New Roman" w:hAnsi="Times New Roman" w:cs="Times New Roman"/>
                <w:b/>
                <w:bCs/>
              </w:rPr>
              <w:t>Sector:</w:t>
            </w:r>
          </w:p>
        </w:tc>
      </w:tr>
      <w:tr w:rsidR="00926FFF" w:rsidRPr="002F53BC" w14:paraId="48BB1E08" w14:textId="77777777" w:rsidTr="00E11D77">
        <w:tc>
          <w:tcPr>
            <w:tcW w:w="2340" w:type="dxa"/>
            <w:tcMar>
              <w:top w:w="100" w:type="dxa"/>
              <w:left w:w="100" w:type="dxa"/>
              <w:bottom w:w="100" w:type="dxa"/>
              <w:right w:w="100" w:type="dxa"/>
            </w:tcMar>
          </w:tcPr>
          <w:p w14:paraId="04752CDD"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BAC: NYSE</w:t>
            </w:r>
          </w:p>
        </w:tc>
        <w:tc>
          <w:tcPr>
            <w:tcW w:w="2340" w:type="dxa"/>
            <w:tcMar>
              <w:top w:w="100" w:type="dxa"/>
              <w:left w:w="100" w:type="dxa"/>
              <w:bottom w:w="100" w:type="dxa"/>
              <w:right w:w="100" w:type="dxa"/>
            </w:tcMar>
          </w:tcPr>
          <w:p w14:paraId="1E46BE1A"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Bank of America Corp</w:t>
            </w:r>
          </w:p>
        </w:tc>
        <w:tc>
          <w:tcPr>
            <w:tcW w:w="2340" w:type="dxa"/>
            <w:tcMar>
              <w:top w:w="100" w:type="dxa"/>
              <w:left w:w="100" w:type="dxa"/>
              <w:bottom w:w="100" w:type="dxa"/>
              <w:right w:w="100" w:type="dxa"/>
            </w:tcMar>
          </w:tcPr>
          <w:p w14:paraId="1AF7BE8B"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2D559ED5"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926FFF" w:rsidRPr="002F53BC" w14:paraId="78221863" w14:textId="77777777" w:rsidTr="00E11D77">
        <w:tc>
          <w:tcPr>
            <w:tcW w:w="2340" w:type="dxa"/>
            <w:tcMar>
              <w:top w:w="100" w:type="dxa"/>
              <w:left w:w="100" w:type="dxa"/>
              <w:bottom w:w="100" w:type="dxa"/>
              <w:right w:w="100" w:type="dxa"/>
            </w:tcMar>
          </w:tcPr>
          <w:p w14:paraId="4D7BEBC7"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BHB: NYSE</w:t>
            </w:r>
          </w:p>
        </w:tc>
        <w:tc>
          <w:tcPr>
            <w:tcW w:w="2340" w:type="dxa"/>
            <w:tcMar>
              <w:top w:w="100" w:type="dxa"/>
              <w:left w:w="100" w:type="dxa"/>
              <w:bottom w:w="100" w:type="dxa"/>
              <w:right w:w="100" w:type="dxa"/>
            </w:tcMar>
          </w:tcPr>
          <w:p w14:paraId="26110716"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 xml:space="preserve">Bar Harbor </w:t>
            </w:r>
            <w:proofErr w:type="spellStart"/>
            <w:r w:rsidRPr="002F53BC">
              <w:rPr>
                <w:rFonts w:ascii="Times New Roman" w:eastAsia="Times New Roman" w:hAnsi="Times New Roman" w:cs="Times New Roman"/>
              </w:rPr>
              <w:t>Bankshares</w:t>
            </w:r>
            <w:proofErr w:type="spellEnd"/>
          </w:p>
        </w:tc>
        <w:tc>
          <w:tcPr>
            <w:tcW w:w="2340" w:type="dxa"/>
            <w:tcMar>
              <w:top w:w="100" w:type="dxa"/>
              <w:left w:w="100" w:type="dxa"/>
              <w:bottom w:w="100" w:type="dxa"/>
              <w:right w:w="100" w:type="dxa"/>
            </w:tcMar>
          </w:tcPr>
          <w:p w14:paraId="7649B001"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03F20E7A"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926FFF" w:rsidRPr="002F53BC" w14:paraId="68659EC7" w14:textId="77777777" w:rsidTr="00E11D77">
        <w:tc>
          <w:tcPr>
            <w:tcW w:w="2340" w:type="dxa"/>
            <w:tcMar>
              <w:top w:w="100" w:type="dxa"/>
              <w:left w:w="100" w:type="dxa"/>
              <w:bottom w:w="100" w:type="dxa"/>
              <w:right w:w="100" w:type="dxa"/>
            </w:tcMar>
          </w:tcPr>
          <w:p w14:paraId="4F0E8566"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CAC: NASDAQ</w:t>
            </w:r>
          </w:p>
        </w:tc>
        <w:tc>
          <w:tcPr>
            <w:tcW w:w="2340" w:type="dxa"/>
            <w:tcMar>
              <w:top w:w="100" w:type="dxa"/>
              <w:left w:w="100" w:type="dxa"/>
              <w:bottom w:w="100" w:type="dxa"/>
              <w:right w:w="100" w:type="dxa"/>
            </w:tcMar>
          </w:tcPr>
          <w:p w14:paraId="7B208892"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Camden National Corporation</w:t>
            </w:r>
          </w:p>
        </w:tc>
        <w:tc>
          <w:tcPr>
            <w:tcW w:w="2340" w:type="dxa"/>
            <w:tcMar>
              <w:top w:w="100" w:type="dxa"/>
              <w:left w:w="100" w:type="dxa"/>
              <w:bottom w:w="100" w:type="dxa"/>
              <w:right w:w="100" w:type="dxa"/>
            </w:tcMar>
          </w:tcPr>
          <w:p w14:paraId="2A24462C"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4CA4C6A6"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926FFF" w:rsidRPr="002F53BC" w14:paraId="7F2B1FF4" w14:textId="77777777" w:rsidTr="00E11D77">
        <w:tc>
          <w:tcPr>
            <w:tcW w:w="2340" w:type="dxa"/>
            <w:tcMar>
              <w:top w:w="100" w:type="dxa"/>
              <w:left w:w="100" w:type="dxa"/>
              <w:bottom w:w="100" w:type="dxa"/>
              <w:right w:w="100" w:type="dxa"/>
            </w:tcMar>
          </w:tcPr>
          <w:p w14:paraId="1D891548"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CHRT: NASDAQ</w:t>
            </w:r>
          </w:p>
        </w:tc>
        <w:tc>
          <w:tcPr>
            <w:tcW w:w="2340" w:type="dxa"/>
            <w:tcMar>
              <w:top w:w="100" w:type="dxa"/>
              <w:left w:w="100" w:type="dxa"/>
              <w:bottom w:w="100" w:type="dxa"/>
              <w:right w:w="100" w:type="dxa"/>
            </w:tcMar>
          </w:tcPr>
          <w:p w14:paraId="2F022E98"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Charter Communications, Inc.</w:t>
            </w:r>
          </w:p>
        </w:tc>
        <w:tc>
          <w:tcPr>
            <w:tcW w:w="2340" w:type="dxa"/>
            <w:tcMar>
              <w:top w:w="100" w:type="dxa"/>
              <w:left w:w="100" w:type="dxa"/>
              <w:bottom w:w="100" w:type="dxa"/>
              <w:right w:w="100" w:type="dxa"/>
            </w:tcMar>
          </w:tcPr>
          <w:p w14:paraId="01C242FB"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14904EC9"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Communication Services</w:t>
            </w:r>
          </w:p>
        </w:tc>
      </w:tr>
      <w:tr w:rsidR="00926FFF" w:rsidRPr="002F53BC" w14:paraId="480481BB" w14:textId="77777777" w:rsidTr="00E11D77">
        <w:tc>
          <w:tcPr>
            <w:tcW w:w="2340" w:type="dxa"/>
            <w:tcMar>
              <w:top w:w="100" w:type="dxa"/>
              <w:left w:w="100" w:type="dxa"/>
              <w:bottom w:w="100" w:type="dxa"/>
              <w:right w:w="100" w:type="dxa"/>
            </w:tcMar>
          </w:tcPr>
          <w:p w14:paraId="3475C78E"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CL: NYSE</w:t>
            </w:r>
          </w:p>
        </w:tc>
        <w:tc>
          <w:tcPr>
            <w:tcW w:w="2340" w:type="dxa"/>
            <w:tcMar>
              <w:top w:w="100" w:type="dxa"/>
              <w:left w:w="100" w:type="dxa"/>
              <w:bottom w:w="100" w:type="dxa"/>
              <w:right w:w="100" w:type="dxa"/>
            </w:tcMar>
          </w:tcPr>
          <w:p w14:paraId="25756C6D"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Colgate-Palmolive Company</w:t>
            </w:r>
          </w:p>
        </w:tc>
        <w:tc>
          <w:tcPr>
            <w:tcW w:w="2340" w:type="dxa"/>
            <w:tcMar>
              <w:top w:w="100" w:type="dxa"/>
              <w:left w:w="100" w:type="dxa"/>
              <w:bottom w:w="100" w:type="dxa"/>
              <w:right w:w="100" w:type="dxa"/>
            </w:tcMar>
          </w:tcPr>
          <w:p w14:paraId="24CD6345"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76662774"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Staples</w:t>
            </w:r>
          </w:p>
        </w:tc>
      </w:tr>
      <w:tr w:rsidR="00926FFF" w:rsidRPr="002F53BC" w14:paraId="51D1C0E8" w14:textId="77777777" w:rsidTr="00E11D77">
        <w:tc>
          <w:tcPr>
            <w:tcW w:w="2340" w:type="dxa"/>
            <w:tcMar>
              <w:top w:w="100" w:type="dxa"/>
              <w:left w:w="100" w:type="dxa"/>
              <w:bottom w:w="100" w:type="dxa"/>
              <w:right w:w="100" w:type="dxa"/>
            </w:tcMar>
          </w:tcPr>
          <w:p w14:paraId="6FF1AEAF"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DRI: NYSE</w:t>
            </w:r>
          </w:p>
        </w:tc>
        <w:tc>
          <w:tcPr>
            <w:tcW w:w="2340" w:type="dxa"/>
            <w:tcMar>
              <w:top w:w="100" w:type="dxa"/>
              <w:left w:w="100" w:type="dxa"/>
              <w:bottom w:w="100" w:type="dxa"/>
              <w:right w:w="100" w:type="dxa"/>
            </w:tcMar>
          </w:tcPr>
          <w:p w14:paraId="25C761EB"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Darden Restaurants, Inc.</w:t>
            </w:r>
          </w:p>
        </w:tc>
        <w:tc>
          <w:tcPr>
            <w:tcW w:w="2340" w:type="dxa"/>
            <w:tcMar>
              <w:top w:w="100" w:type="dxa"/>
              <w:left w:w="100" w:type="dxa"/>
              <w:bottom w:w="100" w:type="dxa"/>
              <w:right w:w="100" w:type="dxa"/>
            </w:tcMar>
          </w:tcPr>
          <w:p w14:paraId="6D042F0A"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548D7516"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926FFF" w:rsidRPr="002F53BC" w14:paraId="66073187" w14:textId="77777777" w:rsidTr="00E11D77">
        <w:tc>
          <w:tcPr>
            <w:tcW w:w="2340" w:type="dxa"/>
            <w:tcMar>
              <w:top w:w="100" w:type="dxa"/>
              <w:left w:w="100" w:type="dxa"/>
              <w:bottom w:w="100" w:type="dxa"/>
              <w:right w:w="100" w:type="dxa"/>
            </w:tcMar>
          </w:tcPr>
          <w:p w14:paraId="76E25E0B"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FNLC: NASDAQ</w:t>
            </w:r>
          </w:p>
        </w:tc>
        <w:tc>
          <w:tcPr>
            <w:tcW w:w="2340" w:type="dxa"/>
            <w:tcMar>
              <w:top w:w="100" w:type="dxa"/>
              <w:left w:w="100" w:type="dxa"/>
              <w:bottom w:w="100" w:type="dxa"/>
              <w:right w:w="100" w:type="dxa"/>
            </w:tcMar>
          </w:tcPr>
          <w:p w14:paraId="653EBD10"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The First Bancorp, Inc.</w:t>
            </w:r>
          </w:p>
        </w:tc>
        <w:tc>
          <w:tcPr>
            <w:tcW w:w="2340" w:type="dxa"/>
            <w:tcMar>
              <w:top w:w="100" w:type="dxa"/>
              <w:left w:w="100" w:type="dxa"/>
              <w:bottom w:w="100" w:type="dxa"/>
              <w:right w:w="100" w:type="dxa"/>
            </w:tcMar>
          </w:tcPr>
          <w:p w14:paraId="32E7EC66"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0664D9E1"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926FFF" w:rsidRPr="002F53BC" w14:paraId="53519256" w14:textId="77777777" w:rsidTr="00E11D77">
        <w:tc>
          <w:tcPr>
            <w:tcW w:w="2340" w:type="dxa"/>
            <w:tcMar>
              <w:top w:w="100" w:type="dxa"/>
              <w:left w:w="100" w:type="dxa"/>
              <w:bottom w:w="100" w:type="dxa"/>
              <w:right w:w="100" w:type="dxa"/>
            </w:tcMar>
          </w:tcPr>
          <w:p w14:paraId="3D03E900"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GD: NYSE</w:t>
            </w:r>
          </w:p>
        </w:tc>
        <w:tc>
          <w:tcPr>
            <w:tcW w:w="2340" w:type="dxa"/>
            <w:tcMar>
              <w:top w:w="100" w:type="dxa"/>
              <w:left w:w="100" w:type="dxa"/>
              <w:bottom w:w="100" w:type="dxa"/>
              <w:right w:w="100" w:type="dxa"/>
            </w:tcMar>
          </w:tcPr>
          <w:p w14:paraId="5A0E807C"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General Dynamics Corporation</w:t>
            </w:r>
          </w:p>
        </w:tc>
        <w:tc>
          <w:tcPr>
            <w:tcW w:w="2340" w:type="dxa"/>
            <w:tcMar>
              <w:top w:w="100" w:type="dxa"/>
              <w:left w:w="100" w:type="dxa"/>
              <w:bottom w:w="100" w:type="dxa"/>
              <w:right w:w="100" w:type="dxa"/>
            </w:tcMar>
          </w:tcPr>
          <w:p w14:paraId="79640CEE"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0E50F848"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926FFF" w:rsidRPr="002F53BC" w14:paraId="3C955DFD" w14:textId="77777777" w:rsidTr="00E11D77">
        <w:tc>
          <w:tcPr>
            <w:tcW w:w="2340" w:type="dxa"/>
            <w:tcMar>
              <w:top w:w="100" w:type="dxa"/>
              <w:left w:w="100" w:type="dxa"/>
              <w:bottom w:w="100" w:type="dxa"/>
              <w:right w:w="100" w:type="dxa"/>
            </w:tcMar>
          </w:tcPr>
          <w:p w14:paraId="7B67BF36"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HLT: NYSE</w:t>
            </w:r>
          </w:p>
        </w:tc>
        <w:tc>
          <w:tcPr>
            <w:tcW w:w="2340" w:type="dxa"/>
            <w:tcMar>
              <w:top w:w="100" w:type="dxa"/>
              <w:left w:w="100" w:type="dxa"/>
              <w:bottom w:w="100" w:type="dxa"/>
              <w:right w:w="100" w:type="dxa"/>
            </w:tcMar>
          </w:tcPr>
          <w:p w14:paraId="561F6FE1"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Hilton Worldwide Holding, Inc.</w:t>
            </w:r>
          </w:p>
        </w:tc>
        <w:tc>
          <w:tcPr>
            <w:tcW w:w="2340" w:type="dxa"/>
            <w:tcMar>
              <w:top w:w="100" w:type="dxa"/>
              <w:left w:w="100" w:type="dxa"/>
              <w:bottom w:w="100" w:type="dxa"/>
              <w:right w:w="100" w:type="dxa"/>
            </w:tcMar>
          </w:tcPr>
          <w:p w14:paraId="0F13EEEC"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0AC18198"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926FFF" w:rsidRPr="002F53BC" w14:paraId="2E8ED0F0" w14:textId="77777777" w:rsidTr="00E11D77">
        <w:tc>
          <w:tcPr>
            <w:tcW w:w="2340" w:type="dxa"/>
            <w:tcMar>
              <w:top w:w="100" w:type="dxa"/>
              <w:left w:w="100" w:type="dxa"/>
              <w:bottom w:w="100" w:type="dxa"/>
              <w:right w:w="100" w:type="dxa"/>
            </w:tcMar>
          </w:tcPr>
          <w:p w14:paraId="49438E79"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HD: NYSE</w:t>
            </w:r>
          </w:p>
        </w:tc>
        <w:tc>
          <w:tcPr>
            <w:tcW w:w="2340" w:type="dxa"/>
            <w:tcMar>
              <w:top w:w="100" w:type="dxa"/>
              <w:left w:w="100" w:type="dxa"/>
              <w:bottom w:w="100" w:type="dxa"/>
              <w:right w:w="100" w:type="dxa"/>
            </w:tcMar>
          </w:tcPr>
          <w:p w14:paraId="3FBD9073"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The Home Depot, Inc.</w:t>
            </w:r>
          </w:p>
        </w:tc>
        <w:tc>
          <w:tcPr>
            <w:tcW w:w="2340" w:type="dxa"/>
            <w:tcMar>
              <w:top w:w="100" w:type="dxa"/>
              <w:left w:w="100" w:type="dxa"/>
              <w:bottom w:w="100" w:type="dxa"/>
              <w:right w:w="100" w:type="dxa"/>
            </w:tcMar>
          </w:tcPr>
          <w:p w14:paraId="665B531B"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58903003"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926FFF" w:rsidRPr="002F53BC" w14:paraId="24AB6D5D" w14:textId="77777777" w:rsidTr="00E11D77">
        <w:tc>
          <w:tcPr>
            <w:tcW w:w="2340" w:type="dxa"/>
            <w:tcMar>
              <w:top w:w="100" w:type="dxa"/>
              <w:left w:w="100" w:type="dxa"/>
              <w:bottom w:w="100" w:type="dxa"/>
              <w:right w:w="100" w:type="dxa"/>
            </w:tcMar>
          </w:tcPr>
          <w:p w14:paraId="37F2459B"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ICC: NASDAQ</w:t>
            </w:r>
          </w:p>
        </w:tc>
        <w:tc>
          <w:tcPr>
            <w:tcW w:w="2340" w:type="dxa"/>
            <w:tcMar>
              <w:top w:w="100" w:type="dxa"/>
              <w:left w:w="100" w:type="dxa"/>
              <w:bottom w:w="100" w:type="dxa"/>
              <w:right w:w="100" w:type="dxa"/>
            </w:tcMar>
          </w:tcPr>
          <w:p w14:paraId="64650A8C" w14:textId="77777777" w:rsidR="00926FFF" w:rsidRPr="002F53BC" w:rsidRDefault="00926FFF" w:rsidP="00E11D77">
            <w:pPr>
              <w:widowControl w:val="0"/>
              <w:spacing w:line="240" w:lineRule="auto"/>
              <w:rPr>
                <w:rFonts w:ascii="Times New Roman" w:eastAsia="Times New Roman" w:hAnsi="Times New Roman" w:cs="Times New Roman"/>
              </w:rPr>
            </w:pPr>
            <w:proofErr w:type="spellStart"/>
            <w:r w:rsidRPr="002F53BC">
              <w:rPr>
                <w:rFonts w:ascii="Times New Roman" w:eastAsia="Times New Roman" w:hAnsi="Times New Roman" w:cs="Times New Roman"/>
              </w:rPr>
              <w:t>ImmuCell</w:t>
            </w:r>
            <w:proofErr w:type="spellEnd"/>
            <w:r w:rsidRPr="002F53BC">
              <w:rPr>
                <w:rFonts w:ascii="Times New Roman" w:eastAsia="Times New Roman" w:hAnsi="Times New Roman" w:cs="Times New Roman"/>
              </w:rPr>
              <w:t xml:space="preserve"> Corporation</w:t>
            </w:r>
          </w:p>
        </w:tc>
        <w:tc>
          <w:tcPr>
            <w:tcW w:w="2340" w:type="dxa"/>
            <w:tcMar>
              <w:top w:w="100" w:type="dxa"/>
              <w:left w:w="100" w:type="dxa"/>
              <w:bottom w:w="100" w:type="dxa"/>
              <w:right w:w="100" w:type="dxa"/>
            </w:tcMar>
          </w:tcPr>
          <w:p w14:paraId="13528264"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5F60EE86"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Health Care</w:t>
            </w:r>
          </w:p>
        </w:tc>
      </w:tr>
      <w:tr w:rsidR="00926FFF" w:rsidRPr="002F53BC" w14:paraId="24628718" w14:textId="77777777" w:rsidTr="00E11D77">
        <w:tc>
          <w:tcPr>
            <w:tcW w:w="2340" w:type="dxa"/>
            <w:tcMar>
              <w:top w:w="100" w:type="dxa"/>
              <w:left w:w="100" w:type="dxa"/>
              <w:bottom w:w="100" w:type="dxa"/>
              <w:right w:w="100" w:type="dxa"/>
            </w:tcMar>
          </w:tcPr>
          <w:p w14:paraId="5F8F44BA"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IDXX: NASDAQ</w:t>
            </w:r>
          </w:p>
        </w:tc>
        <w:tc>
          <w:tcPr>
            <w:tcW w:w="2340" w:type="dxa"/>
            <w:tcMar>
              <w:top w:w="100" w:type="dxa"/>
              <w:left w:w="100" w:type="dxa"/>
              <w:bottom w:w="100" w:type="dxa"/>
              <w:right w:w="100" w:type="dxa"/>
            </w:tcMar>
          </w:tcPr>
          <w:p w14:paraId="164C7967"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IDEXX Laboratories, Inc.</w:t>
            </w:r>
          </w:p>
        </w:tc>
        <w:tc>
          <w:tcPr>
            <w:tcW w:w="2340" w:type="dxa"/>
            <w:tcMar>
              <w:top w:w="100" w:type="dxa"/>
              <w:left w:w="100" w:type="dxa"/>
              <w:bottom w:w="100" w:type="dxa"/>
              <w:right w:w="100" w:type="dxa"/>
            </w:tcMar>
          </w:tcPr>
          <w:p w14:paraId="0EDA1221"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5EF627D2"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Health Care</w:t>
            </w:r>
          </w:p>
        </w:tc>
      </w:tr>
      <w:tr w:rsidR="00926FFF" w:rsidRPr="002F53BC" w14:paraId="47899EE5" w14:textId="77777777" w:rsidTr="00E11D77">
        <w:tc>
          <w:tcPr>
            <w:tcW w:w="2340" w:type="dxa"/>
            <w:tcMar>
              <w:top w:w="100" w:type="dxa"/>
              <w:left w:w="100" w:type="dxa"/>
              <w:bottom w:w="100" w:type="dxa"/>
              <w:right w:w="100" w:type="dxa"/>
            </w:tcMar>
          </w:tcPr>
          <w:p w14:paraId="72E57B75"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LOW: NYSE</w:t>
            </w:r>
          </w:p>
        </w:tc>
        <w:tc>
          <w:tcPr>
            <w:tcW w:w="2340" w:type="dxa"/>
            <w:tcMar>
              <w:top w:w="100" w:type="dxa"/>
              <w:left w:w="100" w:type="dxa"/>
              <w:bottom w:w="100" w:type="dxa"/>
              <w:right w:w="100" w:type="dxa"/>
            </w:tcMar>
          </w:tcPr>
          <w:p w14:paraId="68BE2C3D"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Lowe’s Companies, Inc.</w:t>
            </w:r>
          </w:p>
        </w:tc>
        <w:tc>
          <w:tcPr>
            <w:tcW w:w="2340" w:type="dxa"/>
            <w:tcMar>
              <w:top w:w="100" w:type="dxa"/>
              <w:left w:w="100" w:type="dxa"/>
              <w:bottom w:w="100" w:type="dxa"/>
              <w:right w:w="100" w:type="dxa"/>
            </w:tcMar>
          </w:tcPr>
          <w:p w14:paraId="62B4205C"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334A6175"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926FFF" w:rsidRPr="002F53BC" w14:paraId="1C33880A" w14:textId="77777777" w:rsidTr="00E11D77">
        <w:tc>
          <w:tcPr>
            <w:tcW w:w="2340" w:type="dxa"/>
            <w:tcMar>
              <w:top w:w="100" w:type="dxa"/>
              <w:left w:w="100" w:type="dxa"/>
              <w:bottom w:w="100" w:type="dxa"/>
              <w:right w:w="100" w:type="dxa"/>
            </w:tcMar>
          </w:tcPr>
          <w:p w14:paraId="05A1856C"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MCD: NYSE</w:t>
            </w:r>
          </w:p>
        </w:tc>
        <w:tc>
          <w:tcPr>
            <w:tcW w:w="2340" w:type="dxa"/>
            <w:tcMar>
              <w:top w:w="100" w:type="dxa"/>
              <w:left w:w="100" w:type="dxa"/>
              <w:bottom w:w="100" w:type="dxa"/>
              <w:right w:w="100" w:type="dxa"/>
            </w:tcMar>
          </w:tcPr>
          <w:p w14:paraId="208825A0"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McDonalds Corporation</w:t>
            </w:r>
          </w:p>
        </w:tc>
        <w:tc>
          <w:tcPr>
            <w:tcW w:w="2340" w:type="dxa"/>
            <w:tcMar>
              <w:top w:w="100" w:type="dxa"/>
              <w:left w:w="100" w:type="dxa"/>
              <w:bottom w:w="100" w:type="dxa"/>
              <w:right w:w="100" w:type="dxa"/>
            </w:tcMar>
          </w:tcPr>
          <w:p w14:paraId="2218371B"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1606C155"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926FFF" w:rsidRPr="002F53BC" w14:paraId="4BEEEBAD" w14:textId="77777777" w:rsidTr="00E11D77">
        <w:tc>
          <w:tcPr>
            <w:tcW w:w="2340" w:type="dxa"/>
            <w:tcMar>
              <w:top w:w="100" w:type="dxa"/>
              <w:left w:w="100" w:type="dxa"/>
              <w:bottom w:w="100" w:type="dxa"/>
              <w:right w:w="100" w:type="dxa"/>
            </w:tcMar>
          </w:tcPr>
          <w:p w14:paraId="7FF696E9"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NBN: NASDAQ</w:t>
            </w:r>
          </w:p>
        </w:tc>
        <w:tc>
          <w:tcPr>
            <w:tcW w:w="2340" w:type="dxa"/>
            <w:tcMar>
              <w:top w:w="100" w:type="dxa"/>
              <w:left w:w="100" w:type="dxa"/>
              <w:bottom w:w="100" w:type="dxa"/>
              <w:right w:w="100" w:type="dxa"/>
            </w:tcMar>
          </w:tcPr>
          <w:p w14:paraId="32085A16"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Northeast Bank</w:t>
            </w:r>
          </w:p>
        </w:tc>
        <w:tc>
          <w:tcPr>
            <w:tcW w:w="2340" w:type="dxa"/>
            <w:tcMar>
              <w:top w:w="100" w:type="dxa"/>
              <w:left w:w="100" w:type="dxa"/>
              <w:bottom w:w="100" w:type="dxa"/>
              <w:right w:w="100" w:type="dxa"/>
            </w:tcMar>
          </w:tcPr>
          <w:p w14:paraId="0574D823"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6E945788"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926FFF" w:rsidRPr="002F53BC" w14:paraId="158027F1" w14:textId="77777777" w:rsidTr="00E11D77">
        <w:tc>
          <w:tcPr>
            <w:tcW w:w="2340" w:type="dxa"/>
            <w:tcMar>
              <w:top w:w="100" w:type="dxa"/>
              <w:left w:w="100" w:type="dxa"/>
              <w:bottom w:w="100" w:type="dxa"/>
              <w:right w:w="100" w:type="dxa"/>
            </w:tcMar>
          </w:tcPr>
          <w:p w14:paraId="27D41BA6"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PENN: NASDAQ</w:t>
            </w:r>
          </w:p>
        </w:tc>
        <w:tc>
          <w:tcPr>
            <w:tcW w:w="2340" w:type="dxa"/>
            <w:tcMar>
              <w:top w:w="100" w:type="dxa"/>
              <w:left w:w="100" w:type="dxa"/>
              <w:bottom w:w="100" w:type="dxa"/>
              <w:right w:w="100" w:type="dxa"/>
            </w:tcMar>
          </w:tcPr>
          <w:p w14:paraId="0F3573F1"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Penn National Gaming, Inc.</w:t>
            </w:r>
          </w:p>
        </w:tc>
        <w:tc>
          <w:tcPr>
            <w:tcW w:w="2340" w:type="dxa"/>
            <w:tcMar>
              <w:top w:w="100" w:type="dxa"/>
              <w:left w:w="100" w:type="dxa"/>
              <w:bottom w:w="100" w:type="dxa"/>
              <w:right w:w="100" w:type="dxa"/>
            </w:tcMar>
          </w:tcPr>
          <w:p w14:paraId="10ADA6B7"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70E17CDD"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926FFF" w:rsidRPr="002F53BC" w14:paraId="6B390B46" w14:textId="77777777" w:rsidTr="00E11D77">
        <w:tc>
          <w:tcPr>
            <w:tcW w:w="2340" w:type="dxa"/>
            <w:tcMar>
              <w:top w:w="100" w:type="dxa"/>
              <w:left w:w="100" w:type="dxa"/>
              <w:bottom w:w="100" w:type="dxa"/>
              <w:right w:w="100" w:type="dxa"/>
            </w:tcMar>
          </w:tcPr>
          <w:p w14:paraId="7089138D"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RTX: NYSE</w:t>
            </w:r>
          </w:p>
        </w:tc>
        <w:tc>
          <w:tcPr>
            <w:tcW w:w="2340" w:type="dxa"/>
            <w:tcMar>
              <w:top w:w="100" w:type="dxa"/>
              <w:left w:w="100" w:type="dxa"/>
              <w:bottom w:w="100" w:type="dxa"/>
              <w:right w:w="100" w:type="dxa"/>
            </w:tcMar>
          </w:tcPr>
          <w:p w14:paraId="55C0019B"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Raytheon Technologies Corporation</w:t>
            </w:r>
          </w:p>
        </w:tc>
        <w:tc>
          <w:tcPr>
            <w:tcW w:w="2340" w:type="dxa"/>
            <w:tcMar>
              <w:top w:w="100" w:type="dxa"/>
              <w:left w:w="100" w:type="dxa"/>
              <w:bottom w:w="100" w:type="dxa"/>
              <w:right w:w="100" w:type="dxa"/>
            </w:tcMar>
          </w:tcPr>
          <w:p w14:paraId="420A7B0A"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271EFF68"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Industrials</w:t>
            </w:r>
          </w:p>
        </w:tc>
      </w:tr>
      <w:tr w:rsidR="00926FFF" w:rsidRPr="002F53BC" w14:paraId="5AD1191D" w14:textId="77777777" w:rsidTr="00E11D77">
        <w:tc>
          <w:tcPr>
            <w:tcW w:w="2340" w:type="dxa"/>
            <w:tcMar>
              <w:top w:w="100" w:type="dxa"/>
              <w:left w:w="100" w:type="dxa"/>
              <w:bottom w:w="100" w:type="dxa"/>
              <w:right w:w="100" w:type="dxa"/>
            </w:tcMar>
          </w:tcPr>
          <w:p w14:paraId="06727C1D"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TD: NYSE</w:t>
            </w:r>
          </w:p>
        </w:tc>
        <w:tc>
          <w:tcPr>
            <w:tcW w:w="2340" w:type="dxa"/>
            <w:tcMar>
              <w:top w:w="100" w:type="dxa"/>
              <w:left w:w="100" w:type="dxa"/>
              <w:bottom w:w="100" w:type="dxa"/>
              <w:right w:w="100" w:type="dxa"/>
            </w:tcMar>
          </w:tcPr>
          <w:p w14:paraId="7110056D"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The Toronto-Dominion Bank</w:t>
            </w:r>
          </w:p>
        </w:tc>
        <w:tc>
          <w:tcPr>
            <w:tcW w:w="2340" w:type="dxa"/>
            <w:tcMar>
              <w:top w:w="100" w:type="dxa"/>
              <w:left w:w="100" w:type="dxa"/>
              <w:bottom w:w="100" w:type="dxa"/>
              <w:right w:w="100" w:type="dxa"/>
            </w:tcMar>
          </w:tcPr>
          <w:p w14:paraId="0EAD1CD6"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2238097F"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926FFF" w:rsidRPr="002F53BC" w14:paraId="2FA248E9" w14:textId="77777777" w:rsidTr="00E11D77">
        <w:tc>
          <w:tcPr>
            <w:tcW w:w="2340" w:type="dxa"/>
            <w:tcMar>
              <w:top w:w="100" w:type="dxa"/>
              <w:left w:w="100" w:type="dxa"/>
              <w:bottom w:w="100" w:type="dxa"/>
              <w:right w:w="100" w:type="dxa"/>
            </w:tcMar>
          </w:tcPr>
          <w:p w14:paraId="22BD4E6B"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lastRenderedPageBreak/>
              <w:t>TMUS: NASDAQ</w:t>
            </w:r>
          </w:p>
        </w:tc>
        <w:tc>
          <w:tcPr>
            <w:tcW w:w="2340" w:type="dxa"/>
            <w:tcMar>
              <w:top w:w="100" w:type="dxa"/>
              <w:left w:w="100" w:type="dxa"/>
              <w:bottom w:w="100" w:type="dxa"/>
              <w:right w:w="100" w:type="dxa"/>
            </w:tcMar>
          </w:tcPr>
          <w:p w14:paraId="53763364"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T-Mobile US, Inc.</w:t>
            </w:r>
          </w:p>
        </w:tc>
        <w:tc>
          <w:tcPr>
            <w:tcW w:w="2340" w:type="dxa"/>
            <w:tcMar>
              <w:top w:w="100" w:type="dxa"/>
              <w:left w:w="100" w:type="dxa"/>
              <w:bottom w:w="100" w:type="dxa"/>
              <w:right w:w="100" w:type="dxa"/>
            </w:tcMar>
          </w:tcPr>
          <w:p w14:paraId="789E58F8"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6DC81388"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Services</w:t>
            </w:r>
          </w:p>
        </w:tc>
      </w:tr>
      <w:tr w:rsidR="00926FFF" w:rsidRPr="002F53BC" w14:paraId="1EBD5413" w14:textId="77777777" w:rsidTr="00E11D77">
        <w:tc>
          <w:tcPr>
            <w:tcW w:w="2340" w:type="dxa"/>
            <w:tcMar>
              <w:top w:w="100" w:type="dxa"/>
              <w:left w:w="100" w:type="dxa"/>
              <w:bottom w:w="100" w:type="dxa"/>
              <w:right w:w="100" w:type="dxa"/>
            </w:tcMar>
          </w:tcPr>
          <w:p w14:paraId="7FD3D9E6"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UPS: NYSE</w:t>
            </w:r>
          </w:p>
        </w:tc>
        <w:tc>
          <w:tcPr>
            <w:tcW w:w="2340" w:type="dxa"/>
            <w:tcMar>
              <w:top w:w="100" w:type="dxa"/>
              <w:left w:w="100" w:type="dxa"/>
              <w:bottom w:w="100" w:type="dxa"/>
              <w:right w:w="100" w:type="dxa"/>
            </w:tcMar>
          </w:tcPr>
          <w:p w14:paraId="7D5B42CA"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United Parcel Service, Inc.</w:t>
            </w:r>
          </w:p>
        </w:tc>
        <w:tc>
          <w:tcPr>
            <w:tcW w:w="2340" w:type="dxa"/>
            <w:tcMar>
              <w:top w:w="100" w:type="dxa"/>
              <w:left w:w="100" w:type="dxa"/>
              <w:bottom w:w="100" w:type="dxa"/>
              <w:right w:w="100" w:type="dxa"/>
            </w:tcMar>
          </w:tcPr>
          <w:p w14:paraId="311E3180"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6E5DC78D"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Industrials</w:t>
            </w:r>
          </w:p>
        </w:tc>
      </w:tr>
      <w:tr w:rsidR="00926FFF" w:rsidRPr="002F53BC" w14:paraId="70DE200F" w14:textId="77777777" w:rsidTr="00E11D77">
        <w:tc>
          <w:tcPr>
            <w:tcW w:w="2340" w:type="dxa"/>
            <w:tcMar>
              <w:top w:w="100" w:type="dxa"/>
              <w:left w:w="100" w:type="dxa"/>
              <w:bottom w:w="100" w:type="dxa"/>
              <w:right w:w="100" w:type="dxa"/>
            </w:tcMar>
          </w:tcPr>
          <w:p w14:paraId="604F2D73"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UNM: NYSE</w:t>
            </w:r>
          </w:p>
        </w:tc>
        <w:tc>
          <w:tcPr>
            <w:tcW w:w="2340" w:type="dxa"/>
            <w:tcMar>
              <w:top w:w="100" w:type="dxa"/>
              <w:left w:w="100" w:type="dxa"/>
              <w:bottom w:w="100" w:type="dxa"/>
              <w:right w:w="100" w:type="dxa"/>
            </w:tcMar>
          </w:tcPr>
          <w:p w14:paraId="588F78BB"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UNUM Group</w:t>
            </w:r>
          </w:p>
        </w:tc>
        <w:tc>
          <w:tcPr>
            <w:tcW w:w="2340" w:type="dxa"/>
            <w:tcMar>
              <w:top w:w="100" w:type="dxa"/>
              <w:left w:w="100" w:type="dxa"/>
              <w:bottom w:w="100" w:type="dxa"/>
              <w:right w:w="100" w:type="dxa"/>
            </w:tcMar>
          </w:tcPr>
          <w:p w14:paraId="1317839D"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0820E42C"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926FFF" w:rsidRPr="002F53BC" w14:paraId="1C1874E8" w14:textId="77777777" w:rsidTr="00E11D77">
        <w:tc>
          <w:tcPr>
            <w:tcW w:w="2340" w:type="dxa"/>
            <w:tcMar>
              <w:top w:w="100" w:type="dxa"/>
              <w:left w:w="100" w:type="dxa"/>
              <w:bottom w:w="100" w:type="dxa"/>
              <w:right w:w="100" w:type="dxa"/>
            </w:tcMar>
          </w:tcPr>
          <w:p w14:paraId="1480C282"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VLO: NYSE</w:t>
            </w:r>
          </w:p>
        </w:tc>
        <w:tc>
          <w:tcPr>
            <w:tcW w:w="2340" w:type="dxa"/>
            <w:tcMar>
              <w:top w:w="100" w:type="dxa"/>
              <w:left w:w="100" w:type="dxa"/>
              <w:bottom w:w="100" w:type="dxa"/>
              <w:right w:w="100" w:type="dxa"/>
            </w:tcMar>
          </w:tcPr>
          <w:p w14:paraId="2AB2ADCD"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Valero Energy Corporation</w:t>
            </w:r>
          </w:p>
        </w:tc>
        <w:tc>
          <w:tcPr>
            <w:tcW w:w="2340" w:type="dxa"/>
            <w:tcMar>
              <w:top w:w="100" w:type="dxa"/>
              <w:left w:w="100" w:type="dxa"/>
              <w:bottom w:w="100" w:type="dxa"/>
              <w:right w:w="100" w:type="dxa"/>
            </w:tcMar>
          </w:tcPr>
          <w:p w14:paraId="23C24A45"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6FA806C4"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Energy</w:t>
            </w:r>
          </w:p>
        </w:tc>
      </w:tr>
      <w:tr w:rsidR="00926FFF" w:rsidRPr="002F53BC" w14:paraId="4E8C9BA9" w14:textId="77777777" w:rsidTr="00E11D77">
        <w:tc>
          <w:tcPr>
            <w:tcW w:w="2340" w:type="dxa"/>
            <w:tcMar>
              <w:top w:w="100" w:type="dxa"/>
              <w:left w:w="100" w:type="dxa"/>
              <w:bottom w:w="100" w:type="dxa"/>
              <w:right w:w="100" w:type="dxa"/>
            </w:tcMar>
          </w:tcPr>
          <w:p w14:paraId="7149AABD"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WMT: NYSE</w:t>
            </w:r>
          </w:p>
        </w:tc>
        <w:tc>
          <w:tcPr>
            <w:tcW w:w="2340" w:type="dxa"/>
            <w:tcMar>
              <w:top w:w="100" w:type="dxa"/>
              <w:left w:w="100" w:type="dxa"/>
              <w:bottom w:w="100" w:type="dxa"/>
              <w:right w:w="100" w:type="dxa"/>
            </w:tcMar>
          </w:tcPr>
          <w:p w14:paraId="32281949"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Walmart, Inc.</w:t>
            </w:r>
          </w:p>
        </w:tc>
        <w:tc>
          <w:tcPr>
            <w:tcW w:w="2340" w:type="dxa"/>
            <w:tcMar>
              <w:top w:w="100" w:type="dxa"/>
              <w:left w:w="100" w:type="dxa"/>
              <w:bottom w:w="100" w:type="dxa"/>
              <w:right w:w="100" w:type="dxa"/>
            </w:tcMar>
          </w:tcPr>
          <w:p w14:paraId="475ECC7A"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1AD73EB0"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Services</w:t>
            </w:r>
          </w:p>
        </w:tc>
      </w:tr>
      <w:tr w:rsidR="00926FFF" w:rsidRPr="002F53BC" w14:paraId="05AA23A2" w14:textId="77777777" w:rsidTr="00E11D77">
        <w:tc>
          <w:tcPr>
            <w:tcW w:w="2340" w:type="dxa"/>
            <w:tcMar>
              <w:top w:w="100" w:type="dxa"/>
              <w:left w:w="100" w:type="dxa"/>
              <w:bottom w:w="100" w:type="dxa"/>
              <w:right w:w="100" w:type="dxa"/>
            </w:tcMar>
          </w:tcPr>
          <w:p w14:paraId="033C854E"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WEX: NYSE</w:t>
            </w:r>
          </w:p>
        </w:tc>
        <w:tc>
          <w:tcPr>
            <w:tcW w:w="2340" w:type="dxa"/>
            <w:tcMar>
              <w:top w:w="100" w:type="dxa"/>
              <w:left w:w="100" w:type="dxa"/>
              <w:bottom w:w="100" w:type="dxa"/>
              <w:right w:w="100" w:type="dxa"/>
            </w:tcMar>
          </w:tcPr>
          <w:p w14:paraId="43D2ABD2"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WEX, Inc.</w:t>
            </w:r>
          </w:p>
        </w:tc>
        <w:tc>
          <w:tcPr>
            <w:tcW w:w="2340" w:type="dxa"/>
            <w:tcMar>
              <w:top w:w="100" w:type="dxa"/>
              <w:left w:w="100" w:type="dxa"/>
              <w:bottom w:w="100" w:type="dxa"/>
              <w:right w:w="100" w:type="dxa"/>
            </w:tcMar>
          </w:tcPr>
          <w:p w14:paraId="041670C3"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6BF0884F" w14:textId="77777777" w:rsidR="00926FFF" w:rsidRPr="002F53BC" w:rsidRDefault="00926FFF" w:rsidP="00E11D77">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Information Technologies</w:t>
            </w:r>
          </w:p>
        </w:tc>
      </w:tr>
    </w:tbl>
    <w:p w14:paraId="6B25A4BD" w14:textId="77777777" w:rsidR="00926FFF" w:rsidRPr="002F53BC" w:rsidRDefault="00926FFF" w:rsidP="00926FFF">
      <w:pPr>
        <w:rPr>
          <w:rFonts w:ascii="Times New Roman" w:eastAsia="Times New Roman" w:hAnsi="Times New Roman" w:cs="Times New Roman"/>
        </w:rPr>
      </w:pPr>
    </w:p>
    <w:p w14:paraId="1E2DCAEB" w14:textId="77777777" w:rsidR="00926FFF" w:rsidRPr="002F53BC" w:rsidRDefault="00926FFF" w:rsidP="00926FFF">
      <w:pPr>
        <w:rPr>
          <w:rFonts w:ascii="Times New Roman" w:eastAsia="Times New Roman" w:hAnsi="Times New Roman" w:cs="Times New Roman"/>
        </w:rPr>
      </w:pPr>
    </w:p>
    <w:p w14:paraId="5DCE4E58" w14:textId="77777777" w:rsidR="00926FFF" w:rsidRPr="002F53BC" w:rsidRDefault="00926FFF" w:rsidP="00926FFF">
      <w:pPr>
        <w:rPr>
          <w:rFonts w:ascii="Times New Roman" w:hAnsi="Times New Roman" w:cs="Times New Roman"/>
        </w:rPr>
      </w:pPr>
    </w:p>
    <w:p w14:paraId="4EA06FEB" w14:textId="77777777" w:rsidR="00926FFF" w:rsidRPr="002F53BC" w:rsidRDefault="00926FFF" w:rsidP="00926FFF">
      <w:pPr>
        <w:rPr>
          <w:rFonts w:ascii="Times New Roman" w:hAnsi="Times New Roman" w:cs="Times New Roman"/>
        </w:rPr>
      </w:pPr>
    </w:p>
    <w:p w14:paraId="7BF25E10" w14:textId="77777777" w:rsidR="00926FFF" w:rsidRDefault="00926FFF" w:rsidP="00926FFF"/>
    <w:p w14:paraId="1C0F87E5" w14:textId="77777777" w:rsidR="00926FFF" w:rsidRDefault="00926FFF" w:rsidP="00926FFF"/>
    <w:p w14:paraId="1ADD2E3E" w14:textId="77777777" w:rsidR="00926FFF" w:rsidRDefault="00926FFF" w:rsidP="00926FFF"/>
    <w:p w14:paraId="6CD226E2" w14:textId="77777777" w:rsidR="00450EBB" w:rsidRDefault="00450EBB"/>
    <w:sectPr w:rsidR="00450EBB" w:rsidSect="00926F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FFF"/>
    <w:rsid w:val="0003736D"/>
    <w:rsid w:val="00450EBB"/>
    <w:rsid w:val="004C3F3C"/>
    <w:rsid w:val="00555341"/>
    <w:rsid w:val="006A4163"/>
    <w:rsid w:val="00823BA4"/>
    <w:rsid w:val="00926FFF"/>
    <w:rsid w:val="00AC724B"/>
    <w:rsid w:val="00CC6A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29661"/>
  <w15:chartTrackingRefBased/>
  <w15:docId w15:val="{2F356060-7C02-433B-B543-ABC8D4E32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FFF"/>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926FF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926FF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926FF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926FFF"/>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926FFF"/>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926FFF"/>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926FFF"/>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926FFF"/>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926FFF"/>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F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6F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6F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6F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6F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6F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6F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6F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6FFF"/>
    <w:rPr>
      <w:rFonts w:eastAsiaTheme="majorEastAsia" w:cstheme="majorBidi"/>
      <w:color w:val="272727" w:themeColor="text1" w:themeTint="D8"/>
    </w:rPr>
  </w:style>
  <w:style w:type="paragraph" w:styleId="Title">
    <w:name w:val="Title"/>
    <w:basedOn w:val="Normal"/>
    <w:next w:val="Normal"/>
    <w:link w:val="TitleChar"/>
    <w:uiPriority w:val="10"/>
    <w:qFormat/>
    <w:rsid w:val="00926FFF"/>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926F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6FF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926F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6FFF"/>
    <w:pPr>
      <w:spacing w:before="160" w:after="160" w:line="278" w:lineRule="auto"/>
      <w:jc w:val="center"/>
    </w:pPr>
    <w:rPr>
      <w:rFonts w:asciiTheme="minorHAnsi" w:eastAsiaTheme="minorEastAsia"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926FFF"/>
    <w:rPr>
      <w:i/>
      <w:iCs/>
      <w:color w:val="404040" w:themeColor="text1" w:themeTint="BF"/>
    </w:rPr>
  </w:style>
  <w:style w:type="paragraph" w:styleId="ListParagraph">
    <w:name w:val="List Paragraph"/>
    <w:basedOn w:val="Normal"/>
    <w:uiPriority w:val="34"/>
    <w:qFormat/>
    <w:rsid w:val="00926FFF"/>
    <w:pPr>
      <w:spacing w:after="160" w:line="278" w:lineRule="auto"/>
      <w:ind w:left="720"/>
      <w:contextualSpacing/>
    </w:pPr>
    <w:rPr>
      <w:rFonts w:asciiTheme="minorHAnsi" w:eastAsiaTheme="minorEastAsia"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926FFF"/>
    <w:rPr>
      <w:i/>
      <w:iCs/>
      <w:color w:val="0F4761" w:themeColor="accent1" w:themeShade="BF"/>
    </w:rPr>
  </w:style>
  <w:style w:type="paragraph" w:styleId="IntenseQuote">
    <w:name w:val="Intense Quote"/>
    <w:basedOn w:val="Normal"/>
    <w:next w:val="Normal"/>
    <w:link w:val="IntenseQuoteChar"/>
    <w:uiPriority w:val="30"/>
    <w:qFormat/>
    <w:rsid w:val="00926FF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926FFF"/>
    <w:rPr>
      <w:i/>
      <w:iCs/>
      <w:color w:val="0F4761" w:themeColor="accent1" w:themeShade="BF"/>
    </w:rPr>
  </w:style>
  <w:style w:type="character" w:styleId="IntenseReference">
    <w:name w:val="Intense Reference"/>
    <w:basedOn w:val="DefaultParagraphFont"/>
    <w:uiPriority w:val="32"/>
    <w:qFormat/>
    <w:rsid w:val="00926FFF"/>
    <w:rPr>
      <w:b/>
      <w:bCs/>
      <w:smallCaps/>
      <w:color w:val="0F4761" w:themeColor="accent1" w:themeShade="BF"/>
      <w:spacing w:val="5"/>
    </w:rPr>
  </w:style>
  <w:style w:type="paragraph" w:styleId="Revision">
    <w:name w:val="Revision"/>
    <w:hidden/>
    <w:uiPriority w:val="99"/>
    <w:semiHidden/>
    <w:rsid w:val="00555341"/>
    <w:pPr>
      <w:spacing w:after="0" w:line="240" w:lineRule="auto"/>
    </w:pPr>
    <w:rPr>
      <w:rFonts w:ascii="Arial" w:eastAsia="Arial" w:hAnsi="Arial" w:cs="Arial"/>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838</Words>
  <Characters>4781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Cooper Grondin</dc:creator>
  <cp:keywords/>
  <dc:description/>
  <cp:lastModifiedBy>Jia Liu</cp:lastModifiedBy>
  <cp:revision>3</cp:revision>
  <dcterms:created xsi:type="dcterms:W3CDTF">2026-10-10T13:27:00Z</dcterms:created>
  <dcterms:modified xsi:type="dcterms:W3CDTF">2026-10-11T22:52:00Z</dcterms:modified>
</cp:coreProperties>
</file>