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F43E1" w14:textId="77777777" w:rsidR="00E149B3" w:rsidRDefault="00000000">
      <w:pPr>
        <w:jc w:val="center"/>
        <w:rPr>
          <w:rFonts w:ascii="Times New Roman" w:eastAsia="Times New Roman" w:hAnsi="Times New Roman" w:cs="Times New Roman"/>
          <w:b/>
        </w:rPr>
      </w:pPr>
      <w:r>
        <w:rPr>
          <w:rFonts w:ascii="Times New Roman" w:eastAsia="Times New Roman" w:hAnsi="Times New Roman" w:cs="Times New Roman"/>
          <w:b/>
        </w:rPr>
        <w:t>Husson Stock Index</w:t>
      </w:r>
    </w:p>
    <w:p w14:paraId="36FBF311" w14:textId="77777777" w:rsidR="00E149B3"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 </w:t>
      </w:r>
    </w:p>
    <w:p w14:paraId="7AA8B554" w14:textId="77777777" w:rsidR="00E149B3" w:rsidRDefault="00000000">
      <w:pPr>
        <w:jc w:val="center"/>
        <w:rPr>
          <w:rFonts w:ascii="Times New Roman" w:eastAsia="Times New Roman" w:hAnsi="Times New Roman" w:cs="Times New Roman"/>
          <w:b/>
        </w:rPr>
      </w:pPr>
      <w:r>
        <w:rPr>
          <w:rFonts w:ascii="Times New Roman" w:eastAsia="Times New Roman" w:hAnsi="Times New Roman" w:cs="Times New Roman"/>
          <w:b/>
        </w:rPr>
        <w:t>Week ended Friday, October 31st, 2025</w:t>
      </w:r>
    </w:p>
    <w:p w14:paraId="354155C5" w14:textId="77777777" w:rsidR="00E149B3"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268442F4" w14:textId="403519E7" w:rsidR="00E149B3" w:rsidRDefault="00000000">
      <w:pPr>
        <w:ind w:firstLine="720"/>
        <w:rPr>
          <w:rFonts w:ascii="Times New Roman" w:eastAsia="Times New Roman" w:hAnsi="Times New Roman" w:cs="Times New Roman"/>
        </w:rPr>
      </w:pPr>
      <w:r>
        <w:rPr>
          <w:rFonts w:ascii="Times New Roman" w:eastAsia="Times New Roman" w:hAnsi="Times New Roman" w:cs="Times New Roman"/>
        </w:rPr>
        <w:t>For the week ending October 31st, 2025, the Husson Stock Index (HSI) closed at 246.47, reflecting a 2.</w:t>
      </w:r>
      <w:r w:rsidR="00C66F3E">
        <w:rPr>
          <w:rFonts w:ascii="Times New Roman" w:eastAsia="Times New Roman" w:hAnsi="Times New Roman" w:cs="Times New Roman"/>
        </w:rPr>
        <w:t>39</w:t>
      </w:r>
      <w:r>
        <w:rPr>
          <w:rFonts w:ascii="Times New Roman" w:eastAsia="Times New Roman" w:hAnsi="Times New Roman" w:cs="Times New Roman"/>
        </w:rPr>
        <w:t>% drop from the previous week and a 6.56% increase year to date. The S&amp;P 500 increased 0.71% over the week, and it is up 16.30% year</w:t>
      </w:r>
      <w:r w:rsidR="00C66F3E">
        <w:rPr>
          <w:rFonts w:ascii="Times New Roman" w:eastAsia="Times New Roman" w:hAnsi="Times New Roman" w:cs="Times New Roman"/>
        </w:rPr>
        <w:t xml:space="preserve"> </w:t>
      </w:r>
      <w:r>
        <w:rPr>
          <w:rFonts w:ascii="Times New Roman" w:eastAsia="Times New Roman" w:hAnsi="Times New Roman" w:cs="Times New Roman"/>
        </w:rPr>
        <w:t>to</w:t>
      </w:r>
      <w:r w:rsidR="00C66F3E">
        <w:rPr>
          <w:rFonts w:ascii="Times New Roman" w:eastAsia="Times New Roman" w:hAnsi="Times New Roman" w:cs="Times New Roman"/>
        </w:rPr>
        <w:t xml:space="preserve"> </w:t>
      </w:r>
      <w:r>
        <w:rPr>
          <w:rFonts w:ascii="Times New Roman" w:eastAsia="Times New Roman" w:hAnsi="Times New Roman" w:cs="Times New Roman"/>
        </w:rPr>
        <w:t>date. Similarly, the Dow Jones Industrial Average (DJIA) increased 0.75% for the week, with a year-to-date of 11.80%.</w:t>
      </w:r>
    </w:p>
    <w:p w14:paraId="3B09630E" w14:textId="77777777" w:rsidR="00E149B3" w:rsidRDefault="00E149B3">
      <w:pPr>
        <w:rPr>
          <w:rFonts w:ascii="Times New Roman" w:eastAsia="Times New Roman" w:hAnsi="Times New Roman" w:cs="Times New Roman"/>
        </w:rPr>
      </w:pPr>
    </w:p>
    <w:p w14:paraId="7229F6CF" w14:textId="77777777" w:rsidR="00E149B3" w:rsidRDefault="00000000">
      <w:pPr>
        <w:jc w:val="center"/>
        <w:rPr>
          <w:rFonts w:ascii="Times New Roman" w:eastAsia="Times New Roman" w:hAnsi="Times New Roman" w:cs="Times New Roman"/>
          <w:b/>
        </w:rPr>
      </w:pPr>
      <w:r>
        <w:rPr>
          <w:rFonts w:ascii="Times New Roman" w:eastAsia="Times New Roman" w:hAnsi="Times New Roman" w:cs="Times New Roman"/>
          <w:b/>
        </w:rPr>
        <w:t>Summary</w:t>
      </w:r>
    </w:p>
    <w:p w14:paraId="4EEE6486" w14:textId="77777777" w:rsidR="00E149B3" w:rsidRDefault="00E149B3">
      <w:pPr>
        <w:ind w:firstLine="720"/>
        <w:rPr>
          <w:rFonts w:ascii="Times New Roman" w:eastAsia="Times New Roman" w:hAnsi="Times New Roman" w:cs="Times New Roman"/>
        </w:rPr>
      </w:pPr>
    </w:p>
    <w:p w14:paraId="2A935627" w14:textId="77777777" w:rsidR="00E149B3" w:rsidRDefault="00000000">
      <w:pPr>
        <w:ind w:firstLine="720"/>
        <w:rPr>
          <w:rFonts w:ascii="Times New Roman" w:eastAsia="Times New Roman" w:hAnsi="Times New Roman" w:cs="Times New Roman"/>
        </w:rPr>
      </w:pPr>
      <w:r>
        <w:rPr>
          <w:rFonts w:ascii="Times New Roman" w:eastAsia="Times New Roman" w:hAnsi="Times New Roman" w:cs="Times New Roman"/>
        </w:rPr>
        <w:t>This week, the Husson Stock Index reflected a balanced yet cautious market, as investors evaluated ongoing earnings releases and broader macroeconomic trends headed into the end of 2025. The performance within the transportation sector, as well as the tech-related sector, contributed positively to the market. However, the lagging performance of regional telecom operators and payment processors pulled the index negatively.</w:t>
      </w:r>
    </w:p>
    <w:p w14:paraId="715CD81A" w14:textId="77777777" w:rsidR="00E149B3" w:rsidRDefault="00E149B3">
      <w:pPr>
        <w:ind w:firstLine="720"/>
        <w:rPr>
          <w:rFonts w:ascii="Times New Roman" w:eastAsia="Times New Roman" w:hAnsi="Times New Roman" w:cs="Times New Roman"/>
        </w:rPr>
      </w:pPr>
    </w:p>
    <w:p w14:paraId="11DB57A8" w14:textId="4D42E89C" w:rsidR="00E149B3" w:rsidRDefault="00000000">
      <w:pPr>
        <w:ind w:firstLine="720"/>
        <w:rPr>
          <w:rFonts w:ascii="Times New Roman" w:eastAsia="Times New Roman" w:hAnsi="Times New Roman" w:cs="Times New Roman"/>
        </w:rPr>
      </w:pPr>
      <w:r>
        <w:rPr>
          <w:rFonts w:ascii="Times New Roman" w:eastAsia="Times New Roman" w:hAnsi="Times New Roman" w:cs="Times New Roman"/>
        </w:rPr>
        <w:t>The HSI’s best-performing company for the current week was the United Parcel Service, Inc. (UPS), which rose 10.55%. The increased performance of the UPS shares came after the company posted financial results above market expectations. The company’s performance over the last two years has been declining in both revenues and net income on a yearly basis; however, the adjusted earnings per share came at “$1.74 on revenues of $21.4 billion, compared to the market expectation of $1.30 and revenues of $21.4 billion” (The Globe and Mail, 2025). The company’s management reiterated the fact that the organization is in the middle of a transformational turnaround process where it’s slashing costs and restructuring the business, having already let go of 48,000 workers this year. The company’s management was led by its CEO, Carol Tomé, who said the move represented “the most significant strategic shift in our company’s history,</w:t>
      </w:r>
      <w:r w:rsidR="00C66F3E">
        <w:rPr>
          <w:rFonts w:ascii="Times New Roman" w:eastAsia="Times New Roman" w:hAnsi="Times New Roman" w:cs="Times New Roman"/>
        </w:rPr>
        <w:t>”</w:t>
      </w:r>
      <w:r>
        <w:rPr>
          <w:rFonts w:ascii="Times New Roman" w:eastAsia="Times New Roman" w:hAnsi="Times New Roman" w:cs="Times New Roman"/>
        </w:rPr>
        <w:t xml:space="preserve"> and the measures are geared at </w:t>
      </w:r>
      <w:r w:rsidR="00C66F3E">
        <w:rPr>
          <w:rFonts w:ascii="Times New Roman" w:eastAsia="Times New Roman" w:hAnsi="Times New Roman" w:cs="Times New Roman"/>
        </w:rPr>
        <w:t>“</w:t>
      </w:r>
      <w:r>
        <w:rPr>
          <w:rFonts w:ascii="Times New Roman" w:eastAsia="Times New Roman" w:hAnsi="Times New Roman" w:cs="Times New Roman"/>
        </w:rPr>
        <w:t xml:space="preserve">delivering long-term value for all stakeholders” (The Globe and Mail, 2025). This week has been a shot in the arm for UPS, giving </w:t>
      </w:r>
      <w:proofErr w:type="spellStart"/>
      <w:r>
        <w:rPr>
          <w:rFonts w:ascii="Times New Roman" w:eastAsia="Times New Roman" w:hAnsi="Times New Roman" w:cs="Times New Roman"/>
        </w:rPr>
        <w:t>investors</w:t>
      </w:r>
      <w:proofErr w:type="spellEnd"/>
      <w:r>
        <w:rPr>
          <w:rFonts w:ascii="Times New Roman" w:eastAsia="Times New Roman" w:hAnsi="Times New Roman" w:cs="Times New Roman"/>
        </w:rPr>
        <w:t xml:space="preserve"> confidence heading into the holiday season.</w:t>
      </w:r>
    </w:p>
    <w:p w14:paraId="26BE8566" w14:textId="77777777" w:rsidR="00E149B3" w:rsidRDefault="00E149B3">
      <w:pPr>
        <w:ind w:firstLine="720"/>
        <w:rPr>
          <w:rFonts w:ascii="Times New Roman" w:eastAsia="Times New Roman" w:hAnsi="Times New Roman" w:cs="Times New Roman"/>
        </w:rPr>
      </w:pPr>
    </w:p>
    <w:p w14:paraId="76106AD3" w14:textId="1AE2934C" w:rsidR="00E149B3" w:rsidRDefault="00000000">
      <w:pPr>
        <w:ind w:firstLine="720"/>
        <w:rPr>
          <w:rFonts w:ascii="Times New Roman" w:eastAsia="Times New Roman" w:hAnsi="Times New Roman" w:cs="Times New Roman"/>
        </w:rPr>
      </w:pPr>
      <w:r>
        <w:rPr>
          <w:rFonts w:ascii="Times New Roman" w:eastAsia="Times New Roman" w:hAnsi="Times New Roman" w:cs="Times New Roman"/>
        </w:rPr>
        <w:t xml:space="preserve">The second-best performing company for the week was </w:t>
      </w:r>
      <w:proofErr w:type="spellStart"/>
      <w:r>
        <w:rPr>
          <w:rFonts w:ascii="Times New Roman" w:eastAsia="Times New Roman" w:hAnsi="Times New Roman" w:cs="Times New Roman"/>
        </w:rPr>
        <w:t>ImmuCell</w:t>
      </w:r>
      <w:proofErr w:type="spellEnd"/>
      <w:r>
        <w:rPr>
          <w:rFonts w:ascii="Times New Roman" w:eastAsia="Times New Roman" w:hAnsi="Times New Roman" w:cs="Times New Roman"/>
        </w:rPr>
        <w:t xml:space="preserve"> Corporation (ICCC), which recorded a respectable growth of 2.63%. However, ICCC did not create much buzz during the past week, as it appears investors are cautiously positive about the company’s biotechnology solutions in the agriculture sector. Also, recent analysis showed investors are concerned about the company’s capital inefficiencies in the sense that “although the company shows an impressive rate of reinvestment, the fact that it suffers from such a low rate of return on equity ensures the reinvestment of funds doesn’t benefit the investors at all. </w:t>
      </w:r>
      <w:r w:rsidR="00C66F3E">
        <w:rPr>
          <w:rFonts w:ascii="Times New Roman" w:eastAsia="Times New Roman" w:hAnsi="Times New Roman" w:cs="Times New Roman"/>
        </w:rPr>
        <w:t>A</w:t>
      </w:r>
      <w:r>
        <w:rPr>
          <w:rFonts w:ascii="Times New Roman" w:eastAsia="Times New Roman" w:hAnsi="Times New Roman" w:cs="Times New Roman"/>
        </w:rPr>
        <w:t xml:space="preserve">s such, we should be careful about the company in consideration” (Yahoo Finance, 2025). </w:t>
      </w:r>
    </w:p>
    <w:p w14:paraId="6EDF1982" w14:textId="77777777" w:rsidR="00E149B3" w:rsidRDefault="00E149B3">
      <w:pPr>
        <w:ind w:firstLine="720"/>
        <w:rPr>
          <w:rFonts w:ascii="Times New Roman" w:eastAsia="Times New Roman" w:hAnsi="Times New Roman" w:cs="Times New Roman"/>
        </w:rPr>
      </w:pPr>
    </w:p>
    <w:p w14:paraId="7FE28FFA" w14:textId="77777777" w:rsidR="00E149B3" w:rsidRDefault="00000000">
      <w:pPr>
        <w:ind w:firstLine="720"/>
        <w:rPr>
          <w:rFonts w:ascii="Times New Roman" w:eastAsia="Times New Roman" w:hAnsi="Times New Roman" w:cs="Times New Roman"/>
        </w:rPr>
      </w:pPr>
      <w:r>
        <w:rPr>
          <w:rFonts w:ascii="Times New Roman" w:eastAsia="Times New Roman" w:hAnsi="Times New Roman" w:cs="Times New Roman"/>
        </w:rPr>
        <w:t xml:space="preserve">On the negative side, the weakest link in the HSI this week was Northeast Bank (NBN), declining by 11.33%. Naturally, this decline correlates with the ongoing struggles in the financial and telecom sectors, particularly for the regional financials. In fact, according to recent earnings releases, the company posted a decline in pre-provision net interest income from “59.4 million to 48.2 million, accompanied by higher professional expenses stemming from contract staff costs and other litigation fees. Even as the </w:t>
      </w:r>
      <w:r>
        <w:rPr>
          <w:rFonts w:ascii="Times New Roman" w:eastAsia="Times New Roman" w:hAnsi="Times New Roman" w:cs="Times New Roman"/>
        </w:rPr>
        <w:lastRenderedPageBreak/>
        <w:t xml:space="preserve">company posted an improved effective rate, pursuant to new laws affecting the states, the rate for the rest of the year will </w:t>
      </w:r>
      <w:proofErr w:type="gramStart"/>
      <w:r>
        <w:rPr>
          <w:rFonts w:ascii="Times New Roman" w:eastAsia="Times New Roman" w:hAnsi="Times New Roman" w:cs="Times New Roman"/>
        </w:rPr>
        <w:t>actually normalize</w:t>
      </w:r>
      <w:proofErr w:type="gramEnd"/>
      <w:r>
        <w:rPr>
          <w:rFonts w:ascii="Times New Roman" w:eastAsia="Times New Roman" w:hAnsi="Times New Roman" w:cs="Times New Roman"/>
        </w:rPr>
        <w:t xml:space="preserve"> to between 31 and 32%” (Yahoo Finance, 2025).</w:t>
      </w:r>
    </w:p>
    <w:p w14:paraId="31BA5E7C" w14:textId="77777777" w:rsidR="00E149B3" w:rsidRDefault="00E149B3">
      <w:pPr>
        <w:ind w:firstLine="720"/>
        <w:rPr>
          <w:rFonts w:ascii="Times New Roman" w:eastAsia="Times New Roman" w:hAnsi="Times New Roman" w:cs="Times New Roman"/>
        </w:rPr>
      </w:pPr>
    </w:p>
    <w:p w14:paraId="55C78DD7" w14:textId="77777777" w:rsidR="00E149B3" w:rsidRDefault="00000000">
      <w:pPr>
        <w:ind w:firstLine="720"/>
        <w:rPr>
          <w:rFonts w:ascii="Times New Roman" w:eastAsia="Times New Roman" w:hAnsi="Times New Roman" w:cs="Times New Roman"/>
        </w:rPr>
      </w:pPr>
      <w:r>
        <w:rPr>
          <w:rFonts w:ascii="Times New Roman" w:eastAsia="Times New Roman" w:hAnsi="Times New Roman" w:cs="Times New Roman"/>
        </w:rPr>
        <w:t xml:space="preserve">The second-lowest performer for the period was WEX Inc. (WEX), which reported a decline of 8.76%. WEX is a global financial technology company that provides payment processing and other services for businesses, particularly in fleet management and benefits administration. WEX was able to exceed analyst estimates for EPS of $4.59 on revenues of $691.8 million; however, “positive results were overshadowed by concerns about ongoing challenges in the trucking sector, which affected the company’s Mobility segment and drove mixed investor sentiment” (Yahoo Finance, 2025). Since WEX retains such close ties to the business activity within the commercial fleet segment, WEX remains at risk from the transportation cycle softness, even as the company pursues growth within its new digital </w:t>
      </w:r>
      <w:proofErr w:type="gramStart"/>
      <w:r>
        <w:rPr>
          <w:rFonts w:ascii="Times New Roman" w:eastAsia="Times New Roman" w:hAnsi="Times New Roman" w:cs="Times New Roman"/>
        </w:rPr>
        <w:t>payments</w:t>
      </w:r>
      <w:proofErr w:type="gramEnd"/>
      <w:r>
        <w:rPr>
          <w:rFonts w:ascii="Times New Roman" w:eastAsia="Times New Roman" w:hAnsi="Times New Roman" w:cs="Times New Roman"/>
        </w:rPr>
        <w:t xml:space="preserve"> technologies. </w:t>
      </w:r>
    </w:p>
    <w:p w14:paraId="6399664B" w14:textId="77777777" w:rsidR="00E149B3" w:rsidRDefault="00E149B3">
      <w:pPr>
        <w:ind w:firstLine="720"/>
        <w:rPr>
          <w:rFonts w:ascii="Times New Roman" w:eastAsia="Times New Roman" w:hAnsi="Times New Roman" w:cs="Times New Roman"/>
        </w:rPr>
      </w:pPr>
    </w:p>
    <w:p w14:paraId="0EF62863" w14:textId="77777777" w:rsidR="00E149B3" w:rsidRDefault="00000000">
      <w:pPr>
        <w:ind w:firstLine="720"/>
        <w:rPr>
          <w:rFonts w:ascii="Times New Roman" w:eastAsia="Times New Roman" w:hAnsi="Times New Roman" w:cs="Times New Roman"/>
        </w:rPr>
      </w:pPr>
      <w:r>
        <w:rPr>
          <w:rFonts w:ascii="Times New Roman" w:eastAsia="Times New Roman" w:hAnsi="Times New Roman" w:cs="Times New Roman"/>
        </w:rPr>
        <w:t xml:space="preserve">Overall, the lows outweighed the highs for the HSI in the week ending on October 31, 2025. It is an interesting divergence from the more recognized indexes in the S&amp;P 500 and the Dow Jones, as they both had weeks of a slight climb. With the HSI targeted at Maine's economy, it could show how smaller indexes lack the benefit of huge blue-chip and technology stocks that currently carry the United States market on its shoulders. </w:t>
      </w:r>
    </w:p>
    <w:p w14:paraId="147808FA" w14:textId="77777777" w:rsidR="00E149B3" w:rsidRDefault="00E149B3">
      <w:pPr>
        <w:ind w:firstLine="720"/>
        <w:rPr>
          <w:rFonts w:ascii="Times New Roman" w:eastAsia="Times New Roman" w:hAnsi="Times New Roman" w:cs="Times New Roman"/>
        </w:rPr>
      </w:pPr>
    </w:p>
    <w:p w14:paraId="5BFD1C56" w14:textId="77777777" w:rsidR="00E149B3" w:rsidRDefault="00E149B3">
      <w:pPr>
        <w:rPr>
          <w:rFonts w:ascii="Times New Roman" w:eastAsia="Times New Roman" w:hAnsi="Times New Roman" w:cs="Times New Roman"/>
        </w:rPr>
      </w:pPr>
    </w:p>
    <w:p w14:paraId="1834EDF4" w14:textId="77777777" w:rsidR="00E149B3" w:rsidRDefault="00000000">
      <w:pPr>
        <w:jc w:val="center"/>
        <w:rPr>
          <w:rFonts w:ascii="Times New Roman" w:eastAsia="Times New Roman" w:hAnsi="Times New Roman" w:cs="Times New Roman"/>
          <w:b/>
        </w:rPr>
      </w:pPr>
      <w:r>
        <w:rPr>
          <w:rFonts w:ascii="Times New Roman" w:eastAsia="Times New Roman" w:hAnsi="Times New Roman" w:cs="Times New Roman"/>
          <w:b/>
        </w:rPr>
        <w:t>Overview</w:t>
      </w:r>
    </w:p>
    <w:p w14:paraId="419973E5" w14:textId="77777777" w:rsidR="00E149B3" w:rsidRDefault="00E149B3">
      <w:pPr>
        <w:rPr>
          <w:rFonts w:ascii="Times New Roman" w:eastAsia="Times New Roman" w:hAnsi="Times New Roman" w:cs="Times New Roman"/>
          <w:b/>
        </w:rPr>
      </w:pPr>
    </w:p>
    <w:p w14:paraId="36FFF242" w14:textId="77777777" w:rsidR="00E149B3" w:rsidRDefault="00000000">
      <w:pPr>
        <w:ind w:firstLine="720"/>
        <w:rPr>
          <w:rFonts w:ascii="Times New Roman" w:eastAsia="Times New Roman" w:hAnsi="Times New Roman" w:cs="Times New Roman"/>
        </w:rPr>
      </w:pPr>
      <w:r>
        <w:rPr>
          <w:rFonts w:ascii="Times New Roman" w:eastAsia="Times New Roman" w:hAnsi="Times New Roman" w:cs="Times New Roman"/>
        </w:rPr>
        <w:t>The HSI was developed by Marie Kenney while a student at Husson University in</w:t>
      </w:r>
    </w:p>
    <w:p w14:paraId="13FD8E31" w14:textId="77777777" w:rsidR="00E149B3" w:rsidRDefault="00000000">
      <w:pPr>
        <w:rPr>
          <w:rFonts w:ascii="Times New Roman" w:eastAsia="Times New Roman" w:hAnsi="Times New Roman" w:cs="Times New Roman"/>
        </w:rPr>
      </w:pPr>
      <w:r>
        <w:rPr>
          <w:rFonts w:ascii="Times New Roman" w:eastAsia="Times New Roman" w:hAnsi="Times New Roman" w:cs="Times New Roman"/>
        </w:rPr>
        <w:t>consultation with Associate Professor J. Douglas Wellington. The index is currently being</w:t>
      </w:r>
    </w:p>
    <w:p w14:paraId="0144BAD5" w14:textId="77777777" w:rsidR="00E149B3" w:rsidRDefault="00000000">
      <w:pPr>
        <w:rPr>
          <w:rFonts w:ascii="Times New Roman" w:eastAsia="Times New Roman" w:hAnsi="Times New Roman" w:cs="Times New Roman"/>
        </w:rPr>
      </w:pPr>
      <w:r>
        <w:rPr>
          <w:rFonts w:ascii="Times New Roman" w:eastAsia="Times New Roman" w:hAnsi="Times New Roman" w:cs="Times New Roman"/>
        </w:rPr>
        <w:t xml:space="preserve">tracked and analyzed by Husson students Ray </w:t>
      </w:r>
      <w:proofErr w:type="spellStart"/>
      <w:r>
        <w:rPr>
          <w:rFonts w:ascii="Times New Roman" w:eastAsia="Times New Roman" w:hAnsi="Times New Roman" w:cs="Times New Roman"/>
        </w:rPr>
        <w:t>Intwari</w:t>
      </w:r>
      <w:proofErr w:type="spellEnd"/>
      <w:r>
        <w:rPr>
          <w:rFonts w:ascii="Times New Roman" w:eastAsia="Times New Roman" w:hAnsi="Times New Roman" w:cs="Times New Roman"/>
        </w:rPr>
        <w:t xml:space="preserve"> and Hugh Jack under the supervision of the Associate Professor of Finance, Dr. Jia Liu. The HSI currently tracks and analyzes the stocks of 24 companies that are considered to affect the Maine economy. These companies are either based in Maine or have an influence on the Maine economy through employment or consumer spending. This price-weighted index offers a numerical breakdown of Maine’s economy. The analysis investigates the events of the week and finds the likely reasons the index went up or down. This index and analysis help provide a better understanding of Maine’s economy as well as explain significant changes in stock prices of the companies that comprise the HSI.</w:t>
      </w:r>
    </w:p>
    <w:p w14:paraId="44C0265D" w14:textId="77777777" w:rsidR="00E149B3"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1A8CA557" w14:textId="77777777" w:rsidR="00E149B3" w:rsidRDefault="00E149B3">
      <w:pPr>
        <w:jc w:val="center"/>
        <w:rPr>
          <w:rFonts w:ascii="Times New Roman" w:eastAsia="Times New Roman" w:hAnsi="Times New Roman" w:cs="Times New Roman"/>
          <w:b/>
        </w:rPr>
      </w:pPr>
    </w:p>
    <w:p w14:paraId="20AFBA99" w14:textId="77777777" w:rsidR="00E149B3" w:rsidRDefault="00E149B3">
      <w:pPr>
        <w:jc w:val="center"/>
        <w:rPr>
          <w:rFonts w:ascii="Times New Roman" w:eastAsia="Times New Roman" w:hAnsi="Times New Roman" w:cs="Times New Roman"/>
          <w:b/>
        </w:rPr>
      </w:pPr>
    </w:p>
    <w:p w14:paraId="109637B5" w14:textId="77777777" w:rsidR="00E149B3" w:rsidRDefault="00E149B3">
      <w:pPr>
        <w:jc w:val="center"/>
        <w:rPr>
          <w:rFonts w:ascii="Times New Roman" w:eastAsia="Times New Roman" w:hAnsi="Times New Roman" w:cs="Times New Roman"/>
          <w:b/>
        </w:rPr>
      </w:pPr>
    </w:p>
    <w:p w14:paraId="6DE3D01A" w14:textId="77777777" w:rsidR="00E149B3" w:rsidRDefault="00000000">
      <w:pPr>
        <w:jc w:val="center"/>
        <w:rPr>
          <w:rFonts w:ascii="Times New Roman" w:eastAsia="Times New Roman" w:hAnsi="Times New Roman" w:cs="Times New Roman"/>
          <w:b/>
        </w:rPr>
      </w:pPr>
      <w:r>
        <w:rPr>
          <w:rFonts w:ascii="Times New Roman" w:eastAsia="Times New Roman" w:hAnsi="Times New Roman" w:cs="Times New Roman"/>
          <w:b/>
        </w:rPr>
        <w:t>References:</w:t>
      </w:r>
    </w:p>
    <w:p w14:paraId="57B35BDF" w14:textId="77777777" w:rsidR="00E149B3" w:rsidRDefault="00E149B3">
      <w:pPr>
        <w:jc w:val="center"/>
        <w:rPr>
          <w:rFonts w:ascii="Times New Roman" w:eastAsia="Times New Roman" w:hAnsi="Times New Roman" w:cs="Times New Roman"/>
          <w:b/>
        </w:rPr>
      </w:pPr>
    </w:p>
    <w:p w14:paraId="16D85F8B" w14:textId="77777777" w:rsidR="00E149B3" w:rsidRDefault="00000000">
      <w:pPr>
        <w:rPr>
          <w:rFonts w:ascii="Times New Roman" w:eastAsia="Times New Roman" w:hAnsi="Times New Roman" w:cs="Times New Roman"/>
        </w:rPr>
      </w:pPr>
      <w:r>
        <w:rPr>
          <w:rFonts w:ascii="Times New Roman" w:eastAsia="Times New Roman" w:hAnsi="Times New Roman" w:cs="Times New Roman"/>
        </w:rPr>
        <w:t xml:space="preserve">Hejl, A. (2025, October 31). Why WEX (WEX) Stock Is Trading Lower Today. Yahoo Finance. </w:t>
      </w:r>
      <w:hyperlink r:id="rId5">
        <w:r w:rsidR="00E149B3">
          <w:rPr>
            <w:rFonts w:ascii="Times New Roman" w:eastAsia="Times New Roman" w:hAnsi="Times New Roman" w:cs="Times New Roman"/>
            <w:color w:val="1155CC"/>
            <w:u w:val="single"/>
          </w:rPr>
          <w:t>https://finance.yahoo.com/news/why-wex-wex-stock-trading-192212240.html</w:t>
        </w:r>
      </w:hyperlink>
    </w:p>
    <w:p w14:paraId="05D60FB2" w14:textId="77777777" w:rsidR="00E149B3" w:rsidRDefault="00E149B3">
      <w:pPr>
        <w:rPr>
          <w:rFonts w:ascii="Times New Roman" w:eastAsia="Times New Roman" w:hAnsi="Times New Roman" w:cs="Times New Roman"/>
        </w:rPr>
      </w:pPr>
    </w:p>
    <w:p w14:paraId="0024DBFC" w14:textId="77777777" w:rsidR="00E149B3" w:rsidRDefault="00000000">
      <w:pPr>
        <w:rPr>
          <w:rFonts w:ascii="Times New Roman" w:eastAsia="Times New Roman" w:hAnsi="Times New Roman" w:cs="Times New Roman"/>
        </w:rPr>
      </w:pPr>
      <w:r>
        <w:rPr>
          <w:rFonts w:ascii="Times New Roman" w:eastAsia="Times New Roman" w:hAnsi="Times New Roman" w:cs="Times New Roman"/>
        </w:rPr>
        <w:t xml:space="preserve">News, G. (2025, October 30). Northeast Bank (NBN) Q1 2026 Earnings Call Highlights: Strong Net Income Amid SBA Challenges. Yahoo Finance. </w:t>
      </w:r>
      <w:hyperlink r:id="rId6">
        <w:r w:rsidR="00E149B3">
          <w:rPr>
            <w:rFonts w:ascii="Times New Roman" w:eastAsia="Times New Roman" w:hAnsi="Times New Roman" w:cs="Times New Roman"/>
            <w:color w:val="1155CC"/>
            <w:u w:val="single"/>
          </w:rPr>
          <w:t>https://finance.yahoo.com/news/northeast-bank-nbn-q1-2026-195619023.html</w:t>
        </w:r>
      </w:hyperlink>
    </w:p>
    <w:p w14:paraId="21180E7E" w14:textId="77777777" w:rsidR="00E149B3" w:rsidRDefault="00E149B3">
      <w:pPr>
        <w:rPr>
          <w:rFonts w:ascii="Times New Roman" w:eastAsia="Times New Roman" w:hAnsi="Times New Roman" w:cs="Times New Roman"/>
        </w:rPr>
      </w:pPr>
    </w:p>
    <w:p w14:paraId="32F0B73E" w14:textId="77777777" w:rsidR="00E149B3" w:rsidRDefault="00000000">
      <w:pPr>
        <w:rPr>
          <w:rFonts w:ascii="Times New Roman" w:eastAsia="Times New Roman" w:hAnsi="Times New Roman" w:cs="Times New Roman"/>
        </w:rPr>
      </w:pPr>
      <w:r>
        <w:rPr>
          <w:rFonts w:ascii="Times New Roman" w:eastAsia="Times New Roman" w:hAnsi="Times New Roman" w:cs="Times New Roman"/>
        </w:rPr>
        <w:t xml:space="preserve">Simply Wall St. (2025, November). Is </w:t>
      </w:r>
      <w:proofErr w:type="spellStart"/>
      <w:r>
        <w:rPr>
          <w:rFonts w:ascii="Times New Roman" w:eastAsia="Times New Roman" w:hAnsi="Times New Roman" w:cs="Times New Roman"/>
        </w:rPr>
        <w:t>ImmuCell</w:t>
      </w:r>
      <w:proofErr w:type="spellEnd"/>
      <w:r>
        <w:rPr>
          <w:rFonts w:ascii="Times New Roman" w:eastAsia="Times New Roman" w:hAnsi="Times New Roman" w:cs="Times New Roman"/>
        </w:rPr>
        <w:t xml:space="preserve"> Corporation’s (</w:t>
      </w:r>
      <w:proofErr w:type="gramStart"/>
      <w:r>
        <w:rPr>
          <w:rFonts w:ascii="Times New Roman" w:eastAsia="Times New Roman" w:hAnsi="Times New Roman" w:cs="Times New Roman"/>
        </w:rPr>
        <w:t>NASDAQ:ICCC</w:t>
      </w:r>
      <w:proofErr w:type="gramEnd"/>
      <w:r>
        <w:rPr>
          <w:rFonts w:ascii="Times New Roman" w:eastAsia="Times New Roman" w:hAnsi="Times New Roman" w:cs="Times New Roman"/>
        </w:rPr>
        <w:t xml:space="preserve">) Recent Price Movement Underpinned </w:t>
      </w:r>
      <w:proofErr w:type="gramStart"/>
      <w:r>
        <w:rPr>
          <w:rFonts w:ascii="Times New Roman" w:eastAsia="Times New Roman" w:hAnsi="Times New Roman" w:cs="Times New Roman"/>
        </w:rPr>
        <w:t>By</w:t>
      </w:r>
      <w:proofErr w:type="gramEnd"/>
      <w:r>
        <w:rPr>
          <w:rFonts w:ascii="Times New Roman" w:eastAsia="Times New Roman" w:hAnsi="Times New Roman" w:cs="Times New Roman"/>
        </w:rPr>
        <w:t xml:space="preserve"> Its Weak Fundamentals? Yahoo Finance. </w:t>
      </w:r>
      <w:hyperlink r:id="rId7">
        <w:r w:rsidR="00E149B3">
          <w:rPr>
            <w:rFonts w:ascii="Times New Roman" w:eastAsia="Times New Roman" w:hAnsi="Times New Roman" w:cs="Times New Roman"/>
            <w:color w:val="1155CC"/>
            <w:u w:val="single"/>
          </w:rPr>
          <w:t>https://finance.yahoo.com/news/immucell-corporations-nasdaq-iccc-recent-125720464.html</w:t>
        </w:r>
      </w:hyperlink>
    </w:p>
    <w:p w14:paraId="57B2819D" w14:textId="77777777" w:rsidR="00E149B3" w:rsidRDefault="00E149B3">
      <w:pPr>
        <w:rPr>
          <w:rFonts w:ascii="Times New Roman" w:eastAsia="Times New Roman" w:hAnsi="Times New Roman" w:cs="Times New Roman"/>
        </w:rPr>
      </w:pPr>
    </w:p>
    <w:p w14:paraId="762357CC" w14:textId="77777777" w:rsidR="00E149B3" w:rsidRDefault="00000000">
      <w:pPr>
        <w:rPr>
          <w:rFonts w:ascii="Times New Roman" w:eastAsia="Times New Roman" w:hAnsi="Times New Roman" w:cs="Times New Roman"/>
        </w:rPr>
      </w:pPr>
      <w:r>
        <w:rPr>
          <w:rFonts w:ascii="Times New Roman" w:eastAsia="Times New Roman" w:hAnsi="Times New Roman" w:cs="Times New Roman"/>
        </w:rPr>
        <w:t xml:space="preserve">The Globe and Mail. (2025). The Globe and Mail. </w:t>
      </w:r>
      <w:hyperlink r:id="rId8">
        <w:r w:rsidR="00E149B3">
          <w:rPr>
            <w:rFonts w:ascii="Times New Roman" w:eastAsia="Times New Roman" w:hAnsi="Times New Roman" w:cs="Times New Roman"/>
            <w:color w:val="1155CC"/>
            <w:u w:val="single"/>
          </w:rPr>
          <w:t>https://www.theglobeandmail.com/investing/markets/markets-news/Motley%20Fool/35834795/why-united-parcel-service-ups-stock-skyrocketed-this-week/</w:t>
        </w:r>
      </w:hyperlink>
    </w:p>
    <w:p w14:paraId="44EC1F4D" w14:textId="77777777" w:rsidR="00E149B3" w:rsidRDefault="00E149B3">
      <w:pPr>
        <w:rPr>
          <w:rFonts w:ascii="Times New Roman" w:eastAsia="Times New Roman" w:hAnsi="Times New Roman" w:cs="Times New Roman"/>
        </w:rPr>
      </w:pPr>
    </w:p>
    <w:p w14:paraId="31799FEB" w14:textId="77777777" w:rsidR="00E149B3" w:rsidRDefault="00E149B3">
      <w:pPr>
        <w:rPr>
          <w:rFonts w:ascii="Times New Roman" w:eastAsia="Times New Roman" w:hAnsi="Times New Roman" w:cs="Times New Roman"/>
        </w:rPr>
      </w:pPr>
    </w:p>
    <w:p w14:paraId="21F8D722" w14:textId="77777777" w:rsidR="00E149B3" w:rsidRDefault="00E149B3">
      <w:pPr>
        <w:rPr>
          <w:rFonts w:ascii="Times New Roman" w:eastAsia="Times New Roman" w:hAnsi="Times New Roman" w:cs="Times New Roman"/>
          <w:sz w:val="24"/>
          <w:szCs w:val="24"/>
        </w:rPr>
      </w:pPr>
    </w:p>
    <w:p w14:paraId="6262083E" w14:textId="77777777" w:rsidR="00E149B3" w:rsidRDefault="00E149B3">
      <w:pPr>
        <w:rPr>
          <w:rFonts w:ascii="Times New Roman" w:eastAsia="Times New Roman" w:hAnsi="Times New Roman" w:cs="Times New Roman"/>
          <w:sz w:val="24"/>
          <w:szCs w:val="24"/>
        </w:rPr>
      </w:pPr>
    </w:p>
    <w:p w14:paraId="65E32B02" w14:textId="77777777" w:rsidR="00E149B3" w:rsidRDefault="00E149B3">
      <w:pPr>
        <w:rPr>
          <w:rFonts w:ascii="Times New Roman" w:eastAsia="Times New Roman" w:hAnsi="Times New Roman" w:cs="Times New Roman"/>
          <w:sz w:val="28"/>
          <w:szCs w:val="28"/>
        </w:rPr>
      </w:pPr>
    </w:p>
    <w:p w14:paraId="56F5C890" w14:textId="77777777" w:rsidR="00E149B3" w:rsidRDefault="00E149B3">
      <w:pPr>
        <w:jc w:val="center"/>
        <w:rPr>
          <w:rFonts w:ascii="Times New Roman" w:eastAsia="Times New Roman" w:hAnsi="Times New Roman" w:cs="Times New Roman"/>
          <w:sz w:val="28"/>
          <w:szCs w:val="28"/>
        </w:rPr>
      </w:pPr>
    </w:p>
    <w:p w14:paraId="2E1C182D" w14:textId="77777777" w:rsidR="00E149B3"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Composition of Husson Stock Index (HSI)</w:t>
      </w:r>
    </w:p>
    <w:tbl>
      <w:tblPr>
        <w:tblStyle w:val="a0"/>
        <w:tblW w:w="9360"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E149B3" w14:paraId="45EC2995" w14:textId="77777777">
        <w:tc>
          <w:tcPr>
            <w:tcW w:w="2340" w:type="dxa"/>
            <w:tcMar>
              <w:top w:w="100" w:type="dxa"/>
              <w:left w:w="100" w:type="dxa"/>
              <w:bottom w:w="100" w:type="dxa"/>
              <w:right w:w="100" w:type="dxa"/>
            </w:tcMar>
          </w:tcPr>
          <w:p w14:paraId="06D8445A"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Ticker symbol: Exchange</w:t>
            </w:r>
          </w:p>
        </w:tc>
        <w:tc>
          <w:tcPr>
            <w:tcW w:w="2340" w:type="dxa"/>
            <w:tcMar>
              <w:top w:w="100" w:type="dxa"/>
              <w:left w:w="100" w:type="dxa"/>
              <w:bottom w:w="100" w:type="dxa"/>
              <w:right w:w="100" w:type="dxa"/>
            </w:tcMar>
          </w:tcPr>
          <w:p w14:paraId="31C2E78B"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Stock </w:t>
            </w:r>
          </w:p>
        </w:tc>
        <w:tc>
          <w:tcPr>
            <w:tcW w:w="2340" w:type="dxa"/>
            <w:tcMar>
              <w:top w:w="100" w:type="dxa"/>
              <w:left w:w="100" w:type="dxa"/>
              <w:bottom w:w="100" w:type="dxa"/>
              <w:right w:w="100" w:type="dxa"/>
            </w:tcMar>
          </w:tcPr>
          <w:p w14:paraId="1D3997D7"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 Affiliation</w:t>
            </w:r>
          </w:p>
        </w:tc>
        <w:tc>
          <w:tcPr>
            <w:tcW w:w="2340" w:type="dxa"/>
            <w:tcMar>
              <w:top w:w="100" w:type="dxa"/>
              <w:left w:w="100" w:type="dxa"/>
              <w:bottom w:w="100" w:type="dxa"/>
              <w:right w:w="100" w:type="dxa"/>
            </w:tcMar>
          </w:tcPr>
          <w:p w14:paraId="4582CC80"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Sector</w:t>
            </w:r>
          </w:p>
        </w:tc>
      </w:tr>
      <w:tr w:rsidR="00E149B3" w14:paraId="19C1C900" w14:textId="77777777">
        <w:tc>
          <w:tcPr>
            <w:tcW w:w="2340" w:type="dxa"/>
            <w:tcMar>
              <w:top w:w="100" w:type="dxa"/>
              <w:left w:w="100" w:type="dxa"/>
              <w:bottom w:w="100" w:type="dxa"/>
              <w:right w:w="100" w:type="dxa"/>
            </w:tcMar>
          </w:tcPr>
          <w:p w14:paraId="1004263A"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BAC: NYSE</w:t>
            </w:r>
          </w:p>
        </w:tc>
        <w:tc>
          <w:tcPr>
            <w:tcW w:w="2340" w:type="dxa"/>
            <w:tcMar>
              <w:top w:w="100" w:type="dxa"/>
              <w:left w:w="100" w:type="dxa"/>
              <w:bottom w:w="100" w:type="dxa"/>
              <w:right w:w="100" w:type="dxa"/>
            </w:tcMar>
          </w:tcPr>
          <w:p w14:paraId="0A3B4488"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Bank of </w:t>
            </w:r>
            <w:proofErr w:type="spellStart"/>
            <w:r>
              <w:rPr>
                <w:rFonts w:ascii="Times New Roman" w:eastAsia="Times New Roman" w:hAnsi="Times New Roman" w:cs="Times New Roman"/>
              </w:rPr>
              <w:t>american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corp</w:t>
            </w:r>
            <w:proofErr w:type="spellEnd"/>
          </w:p>
        </w:tc>
        <w:tc>
          <w:tcPr>
            <w:tcW w:w="2340" w:type="dxa"/>
            <w:tcMar>
              <w:top w:w="100" w:type="dxa"/>
              <w:left w:w="100" w:type="dxa"/>
              <w:bottom w:w="100" w:type="dxa"/>
              <w:right w:w="100" w:type="dxa"/>
            </w:tcMar>
          </w:tcPr>
          <w:p w14:paraId="1EC0D77F"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6717DE8E"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E149B3" w14:paraId="2DAF1DF4" w14:textId="77777777">
        <w:tc>
          <w:tcPr>
            <w:tcW w:w="2340" w:type="dxa"/>
            <w:tcMar>
              <w:top w:w="100" w:type="dxa"/>
              <w:left w:w="100" w:type="dxa"/>
              <w:bottom w:w="100" w:type="dxa"/>
              <w:right w:w="100" w:type="dxa"/>
            </w:tcMar>
          </w:tcPr>
          <w:p w14:paraId="3A48CF8E"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BHB: NYSE</w:t>
            </w:r>
          </w:p>
        </w:tc>
        <w:tc>
          <w:tcPr>
            <w:tcW w:w="2340" w:type="dxa"/>
            <w:tcMar>
              <w:top w:w="100" w:type="dxa"/>
              <w:left w:w="100" w:type="dxa"/>
              <w:bottom w:w="100" w:type="dxa"/>
              <w:right w:w="100" w:type="dxa"/>
            </w:tcMar>
          </w:tcPr>
          <w:p w14:paraId="164F4A2A"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Bar Harbor Bank</w:t>
            </w:r>
          </w:p>
        </w:tc>
        <w:tc>
          <w:tcPr>
            <w:tcW w:w="2340" w:type="dxa"/>
            <w:tcMar>
              <w:top w:w="100" w:type="dxa"/>
              <w:left w:w="100" w:type="dxa"/>
              <w:bottom w:w="100" w:type="dxa"/>
              <w:right w:w="100" w:type="dxa"/>
            </w:tcMar>
          </w:tcPr>
          <w:p w14:paraId="7ADCDCFC"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0616A470"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E149B3" w14:paraId="6858DAAC" w14:textId="77777777">
        <w:tc>
          <w:tcPr>
            <w:tcW w:w="2340" w:type="dxa"/>
            <w:tcMar>
              <w:top w:w="100" w:type="dxa"/>
              <w:left w:w="100" w:type="dxa"/>
              <w:bottom w:w="100" w:type="dxa"/>
              <w:right w:w="100" w:type="dxa"/>
            </w:tcMar>
          </w:tcPr>
          <w:p w14:paraId="321CD523"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CAC: NASDAQ</w:t>
            </w:r>
          </w:p>
        </w:tc>
        <w:tc>
          <w:tcPr>
            <w:tcW w:w="2340" w:type="dxa"/>
            <w:tcMar>
              <w:top w:w="100" w:type="dxa"/>
              <w:left w:w="100" w:type="dxa"/>
              <w:bottom w:w="100" w:type="dxa"/>
              <w:right w:w="100" w:type="dxa"/>
            </w:tcMar>
          </w:tcPr>
          <w:p w14:paraId="17295BBC"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Camden National Corporation</w:t>
            </w:r>
          </w:p>
        </w:tc>
        <w:tc>
          <w:tcPr>
            <w:tcW w:w="2340" w:type="dxa"/>
            <w:tcMar>
              <w:top w:w="100" w:type="dxa"/>
              <w:left w:w="100" w:type="dxa"/>
              <w:bottom w:w="100" w:type="dxa"/>
              <w:right w:w="100" w:type="dxa"/>
            </w:tcMar>
          </w:tcPr>
          <w:p w14:paraId="28B101BB"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299C32E2"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E149B3" w14:paraId="11A0C332" w14:textId="77777777">
        <w:tc>
          <w:tcPr>
            <w:tcW w:w="2340" w:type="dxa"/>
            <w:tcMar>
              <w:top w:w="100" w:type="dxa"/>
              <w:left w:w="100" w:type="dxa"/>
              <w:bottom w:w="100" w:type="dxa"/>
              <w:right w:w="100" w:type="dxa"/>
            </w:tcMar>
          </w:tcPr>
          <w:p w14:paraId="33C9D8C5"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CHRT: NASDAQ</w:t>
            </w:r>
          </w:p>
        </w:tc>
        <w:tc>
          <w:tcPr>
            <w:tcW w:w="2340" w:type="dxa"/>
            <w:tcMar>
              <w:top w:w="100" w:type="dxa"/>
              <w:left w:w="100" w:type="dxa"/>
              <w:bottom w:w="100" w:type="dxa"/>
              <w:right w:w="100" w:type="dxa"/>
            </w:tcMar>
          </w:tcPr>
          <w:p w14:paraId="618DC0B3"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Charter Communications, Inc.</w:t>
            </w:r>
          </w:p>
        </w:tc>
        <w:tc>
          <w:tcPr>
            <w:tcW w:w="2340" w:type="dxa"/>
            <w:tcMar>
              <w:top w:w="100" w:type="dxa"/>
              <w:left w:w="100" w:type="dxa"/>
              <w:bottom w:w="100" w:type="dxa"/>
              <w:right w:w="100" w:type="dxa"/>
            </w:tcMar>
          </w:tcPr>
          <w:p w14:paraId="162689A4"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5F7B20A8"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Communication Services</w:t>
            </w:r>
          </w:p>
        </w:tc>
      </w:tr>
      <w:tr w:rsidR="00E149B3" w14:paraId="1B330017" w14:textId="77777777">
        <w:tc>
          <w:tcPr>
            <w:tcW w:w="2340" w:type="dxa"/>
            <w:tcMar>
              <w:top w:w="100" w:type="dxa"/>
              <w:left w:w="100" w:type="dxa"/>
              <w:bottom w:w="100" w:type="dxa"/>
              <w:right w:w="100" w:type="dxa"/>
            </w:tcMar>
          </w:tcPr>
          <w:p w14:paraId="5F6D19CC"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CL: NYSE</w:t>
            </w:r>
          </w:p>
        </w:tc>
        <w:tc>
          <w:tcPr>
            <w:tcW w:w="2340" w:type="dxa"/>
            <w:tcMar>
              <w:top w:w="100" w:type="dxa"/>
              <w:left w:w="100" w:type="dxa"/>
              <w:bottom w:w="100" w:type="dxa"/>
              <w:right w:w="100" w:type="dxa"/>
            </w:tcMar>
          </w:tcPr>
          <w:p w14:paraId="77838FA2" w14:textId="77777777" w:rsidR="00E149B3" w:rsidRDefault="00000000">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Colgate-palmolive</w:t>
            </w:r>
            <w:proofErr w:type="spellEnd"/>
            <w:r>
              <w:rPr>
                <w:rFonts w:ascii="Times New Roman" w:eastAsia="Times New Roman" w:hAnsi="Times New Roman" w:cs="Times New Roman"/>
              </w:rPr>
              <w:t xml:space="preserve"> Company</w:t>
            </w:r>
          </w:p>
        </w:tc>
        <w:tc>
          <w:tcPr>
            <w:tcW w:w="2340" w:type="dxa"/>
            <w:tcMar>
              <w:top w:w="100" w:type="dxa"/>
              <w:left w:w="100" w:type="dxa"/>
              <w:bottom w:w="100" w:type="dxa"/>
              <w:right w:w="100" w:type="dxa"/>
            </w:tcMar>
          </w:tcPr>
          <w:p w14:paraId="0D2A229B"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247E453D"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Consumer Staples</w:t>
            </w:r>
          </w:p>
        </w:tc>
      </w:tr>
      <w:tr w:rsidR="00E149B3" w14:paraId="7526D59F" w14:textId="77777777">
        <w:tc>
          <w:tcPr>
            <w:tcW w:w="2340" w:type="dxa"/>
            <w:tcMar>
              <w:top w:w="100" w:type="dxa"/>
              <w:left w:w="100" w:type="dxa"/>
              <w:bottom w:w="100" w:type="dxa"/>
              <w:right w:w="100" w:type="dxa"/>
            </w:tcMar>
          </w:tcPr>
          <w:p w14:paraId="0E973E69"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DRI: NYSE</w:t>
            </w:r>
          </w:p>
        </w:tc>
        <w:tc>
          <w:tcPr>
            <w:tcW w:w="2340" w:type="dxa"/>
            <w:tcMar>
              <w:top w:w="100" w:type="dxa"/>
              <w:left w:w="100" w:type="dxa"/>
              <w:bottom w:w="100" w:type="dxa"/>
              <w:right w:w="100" w:type="dxa"/>
            </w:tcMar>
          </w:tcPr>
          <w:p w14:paraId="5B4203A1"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Darden Restaurants, Inc.</w:t>
            </w:r>
          </w:p>
        </w:tc>
        <w:tc>
          <w:tcPr>
            <w:tcW w:w="2340" w:type="dxa"/>
            <w:tcMar>
              <w:top w:w="100" w:type="dxa"/>
              <w:left w:w="100" w:type="dxa"/>
              <w:bottom w:w="100" w:type="dxa"/>
              <w:right w:w="100" w:type="dxa"/>
            </w:tcMar>
          </w:tcPr>
          <w:p w14:paraId="0E922E41"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19052345"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E149B3" w14:paraId="59308B60" w14:textId="77777777">
        <w:tc>
          <w:tcPr>
            <w:tcW w:w="2340" w:type="dxa"/>
            <w:tcMar>
              <w:top w:w="100" w:type="dxa"/>
              <w:left w:w="100" w:type="dxa"/>
              <w:bottom w:w="100" w:type="dxa"/>
              <w:right w:w="100" w:type="dxa"/>
            </w:tcMar>
          </w:tcPr>
          <w:p w14:paraId="6DDE2082"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FNLC: NASDAQ</w:t>
            </w:r>
          </w:p>
        </w:tc>
        <w:tc>
          <w:tcPr>
            <w:tcW w:w="2340" w:type="dxa"/>
            <w:tcMar>
              <w:top w:w="100" w:type="dxa"/>
              <w:left w:w="100" w:type="dxa"/>
              <w:bottom w:w="100" w:type="dxa"/>
              <w:right w:w="100" w:type="dxa"/>
            </w:tcMar>
          </w:tcPr>
          <w:p w14:paraId="7D91FCB4"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The First Bancorp, Inc.</w:t>
            </w:r>
          </w:p>
        </w:tc>
        <w:tc>
          <w:tcPr>
            <w:tcW w:w="2340" w:type="dxa"/>
            <w:tcMar>
              <w:top w:w="100" w:type="dxa"/>
              <w:left w:w="100" w:type="dxa"/>
              <w:bottom w:w="100" w:type="dxa"/>
              <w:right w:w="100" w:type="dxa"/>
            </w:tcMar>
          </w:tcPr>
          <w:p w14:paraId="649891BB"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4C1B9504"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E149B3" w14:paraId="4AAD3892" w14:textId="77777777">
        <w:tc>
          <w:tcPr>
            <w:tcW w:w="2340" w:type="dxa"/>
            <w:tcMar>
              <w:top w:w="100" w:type="dxa"/>
              <w:left w:w="100" w:type="dxa"/>
              <w:bottom w:w="100" w:type="dxa"/>
              <w:right w:w="100" w:type="dxa"/>
            </w:tcMar>
          </w:tcPr>
          <w:p w14:paraId="365FC24F"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GD: NYSE</w:t>
            </w:r>
          </w:p>
        </w:tc>
        <w:tc>
          <w:tcPr>
            <w:tcW w:w="2340" w:type="dxa"/>
            <w:tcMar>
              <w:top w:w="100" w:type="dxa"/>
              <w:left w:w="100" w:type="dxa"/>
              <w:bottom w:w="100" w:type="dxa"/>
              <w:right w:w="100" w:type="dxa"/>
            </w:tcMar>
          </w:tcPr>
          <w:p w14:paraId="12AE21C6"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General Dynamics Corporation</w:t>
            </w:r>
          </w:p>
        </w:tc>
        <w:tc>
          <w:tcPr>
            <w:tcW w:w="2340" w:type="dxa"/>
            <w:tcMar>
              <w:top w:w="100" w:type="dxa"/>
              <w:left w:w="100" w:type="dxa"/>
              <w:bottom w:w="100" w:type="dxa"/>
              <w:right w:w="100" w:type="dxa"/>
            </w:tcMar>
          </w:tcPr>
          <w:p w14:paraId="3D5270F0"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1EC37005"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E149B3" w14:paraId="6D4638A0" w14:textId="77777777">
        <w:tc>
          <w:tcPr>
            <w:tcW w:w="2340" w:type="dxa"/>
            <w:tcMar>
              <w:top w:w="100" w:type="dxa"/>
              <w:left w:w="100" w:type="dxa"/>
              <w:bottom w:w="100" w:type="dxa"/>
              <w:right w:w="100" w:type="dxa"/>
            </w:tcMar>
          </w:tcPr>
          <w:p w14:paraId="72602130"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HLT: NYSE</w:t>
            </w:r>
          </w:p>
        </w:tc>
        <w:tc>
          <w:tcPr>
            <w:tcW w:w="2340" w:type="dxa"/>
            <w:tcMar>
              <w:top w:w="100" w:type="dxa"/>
              <w:left w:w="100" w:type="dxa"/>
              <w:bottom w:w="100" w:type="dxa"/>
              <w:right w:w="100" w:type="dxa"/>
            </w:tcMar>
          </w:tcPr>
          <w:p w14:paraId="6CE61AB5"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Hilton Worldwide Holding, Inc.</w:t>
            </w:r>
          </w:p>
        </w:tc>
        <w:tc>
          <w:tcPr>
            <w:tcW w:w="2340" w:type="dxa"/>
            <w:tcMar>
              <w:top w:w="100" w:type="dxa"/>
              <w:left w:w="100" w:type="dxa"/>
              <w:bottom w:w="100" w:type="dxa"/>
              <w:right w:w="100" w:type="dxa"/>
            </w:tcMar>
          </w:tcPr>
          <w:p w14:paraId="529B7DBA"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323318AB"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E149B3" w14:paraId="2E1670A0" w14:textId="77777777">
        <w:tc>
          <w:tcPr>
            <w:tcW w:w="2340" w:type="dxa"/>
            <w:tcMar>
              <w:top w:w="100" w:type="dxa"/>
              <w:left w:w="100" w:type="dxa"/>
              <w:bottom w:w="100" w:type="dxa"/>
              <w:right w:w="100" w:type="dxa"/>
            </w:tcMar>
          </w:tcPr>
          <w:p w14:paraId="39F75088"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HD: NYSE</w:t>
            </w:r>
          </w:p>
        </w:tc>
        <w:tc>
          <w:tcPr>
            <w:tcW w:w="2340" w:type="dxa"/>
            <w:tcMar>
              <w:top w:w="100" w:type="dxa"/>
              <w:left w:w="100" w:type="dxa"/>
              <w:bottom w:w="100" w:type="dxa"/>
              <w:right w:w="100" w:type="dxa"/>
            </w:tcMar>
          </w:tcPr>
          <w:p w14:paraId="5FD9355D"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The Home Depot, Inc.</w:t>
            </w:r>
          </w:p>
        </w:tc>
        <w:tc>
          <w:tcPr>
            <w:tcW w:w="2340" w:type="dxa"/>
            <w:tcMar>
              <w:top w:w="100" w:type="dxa"/>
              <w:left w:w="100" w:type="dxa"/>
              <w:bottom w:w="100" w:type="dxa"/>
              <w:right w:w="100" w:type="dxa"/>
            </w:tcMar>
          </w:tcPr>
          <w:p w14:paraId="2AE12753"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1AAE5C45"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E149B3" w14:paraId="0D212215" w14:textId="77777777">
        <w:tc>
          <w:tcPr>
            <w:tcW w:w="2340" w:type="dxa"/>
            <w:tcMar>
              <w:top w:w="100" w:type="dxa"/>
              <w:left w:w="100" w:type="dxa"/>
              <w:bottom w:w="100" w:type="dxa"/>
              <w:right w:w="100" w:type="dxa"/>
            </w:tcMar>
          </w:tcPr>
          <w:p w14:paraId="2DEB6E63"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ICC: NASDAQ</w:t>
            </w:r>
          </w:p>
        </w:tc>
        <w:tc>
          <w:tcPr>
            <w:tcW w:w="2340" w:type="dxa"/>
            <w:tcMar>
              <w:top w:w="100" w:type="dxa"/>
              <w:left w:w="100" w:type="dxa"/>
              <w:bottom w:w="100" w:type="dxa"/>
              <w:right w:w="100" w:type="dxa"/>
            </w:tcMar>
          </w:tcPr>
          <w:p w14:paraId="3BF691A6" w14:textId="77777777" w:rsidR="00E149B3" w:rsidRDefault="00000000">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ImmuCell</w:t>
            </w:r>
            <w:proofErr w:type="spellEnd"/>
            <w:r>
              <w:rPr>
                <w:rFonts w:ascii="Times New Roman" w:eastAsia="Times New Roman" w:hAnsi="Times New Roman" w:cs="Times New Roman"/>
              </w:rPr>
              <w:t xml:space="preserve"> Corporation </w:t>
            </w:r>
          </w:p>
        </w:tc>
        <w:tc>
          <w:tcPr>
            <w:tcW w:w="2340" w:type="dxa"/>
            <w:tcMar>
              <w:top w:w="100" w:type="dxa"/>
              <w:left w:w="100" w:type="dxa"/>
              <w:bottom w:w="100" w:type="dxa"/>
              <w:right w:w="100" w:type="dxa"/>
            </w:tcMar>
          </w:tcPr>
          <w:p w14:paraId="7D3E644B"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5D9A8D07"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Health Care </w:t>
            </w:r>
          </w:p>
        </w:tc>
      </w:tr>
      <w:tr w:rsidR="00E149B3" w14:paraId="3D0F635D" w14:textId="77777777">
        <w:tc>
          <w:tcPr>
            <w:tcW w:w="2340" w:type="dxa"/>
            <w:tcMar>
              <w:top w:w="100" w:type="dxa"/>
              <w:left w:w="100" w:type="dxa"/>
              <w:bottom w:w="100" w:type="dxa"/>
              <w:right w:w="100" w:type="dxa"/>
            </w:tcMar>
          </w:tcPr>
          <w:p w14:paraId="4B253F9E"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IDXX: NASDAQ</w:t>
            </w:r>
          </w:p>
        </w:tc>
        <w:tc>
          <w:tcPr>
            <w:tcW w:w="2340" w:type="dxa"/>
            <w:tcMar>
              <w:top w:w="100" w:type="dxa"/>
              <w:left w:w="100" w:type="dxa"/>
              <w:bottom w:w="100" w:type="dxa"/>
              <w:right w:w="100" w:type="dxa"/>
            </w:tcMar>
          </w:tcPr>
          <w:p w14:paraId="6F066EE1"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IDEXX Laboratories, </w:t>
            </w:r>
            <w:r>
              <w:rPr>
                <w:rFonts w:ascii="Times New Roman" w:eastAsia="Times New Roman" w:hAnsi="Times New Roman" w:cs="Times New Roman"/>
              </w:rPr>
              <w:lastRenderedPageBreak/>
              <w:t>Inc.</w:t>
            </w:r>
          </w:p>
        </w:tc>
        <w:tc>
          <w:tcPr>
            <w:tcW w:w="2340" w:type="dxa"/>
            <w:tcMar>
              <w:top w:w="100" w:type="dxa"/>
              <w:left w:w="100" w:type="dxa"/>
              <w:bottom w:w="100" w:type="dxa"/>
              <w:right w:w="100" w:type="dxa"/>
            </w:tcMar>
          </w:tcPr>
          <w:p w14:paraId="64D8AFD0"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Maine-based</w:t>
            </w:r>
          </w:p>
        </w:tc>
        <w:tc>
          <w:tcPr>
            <w:tcW w:w="2340" w:type="dxa"/>
            <w:tcMar>
              <w:top w:w="100" w:type="dxa"/>
              <w:left w:w="100" w:type="dxa"/>
              <w:bottom w:w="100" w:type="dxa"/>
              <w:right w:w="100" w:type="dxa"/>
            </w:tcMar>
          </w:tcPr>
          <w:p w14:paraId="67DDA4FD"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Health Care </w:t>
            </w:r>
          </w:p>
        </w:tc>
      </w:tr>
      <w:tr w:rsidR="00E149B3" w14:paraId="636BB440" w14:textId="77777777">
        <w:tc>
          <w:tcPr>
            <w:tcW w:w="2340" w:type="dxa"/>
            <w:tcMar>
              <w:top w:w="100" w:type="dxa"/>
              <w:left w:w="100" w:type="dxa"/>
              <w:bottom w:w="100" w:type="dxa"/>
              <w:right w:w="100" w:type="dxa"/>
            </w:tcMar>
          </w:tcPr>
          <w:p w14:paraId="1263BE61"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LOW: NYSE</w:t>
            </w:r>
          </w:p>
        </w:tc>
        <w:tc>
          <w:tcPr>
            <w:tcW w:w="2340" w:type="dxa"/>
            <w:tcMar>
              <w:top w:w="100" w:type="dxa"/>
              <w:left w:w="100" w:type="dxa"/>
              <w:bottom w:w="100" w:type="dxa"/>
              <w:right w:w="100" w:type="dxa"/>
            </w:tcMar>
          </w:tcPr>
          <w:p w14:paraId="178B4FAE"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Lowe’s Companies, Inc.</w:t>
            </w:r>
          </w:p>
        </w:tc>
        <w:tc>
          <w:tcPr>
            <w:tcW w:w="2340" w:type="dxa"/>
            <w:tcMar>
              <w:top w:w="100" w:type="dxa"/>
              <w:left w:w="100" w:type="dxa"/>
              <w:bottom w:w="100" w:type="dxa"/>
              <w:right w:w="100" w:type="dxa"/>
            </w:tcMar>
          </w:tcPr>
          <w:p w14:paraId="567C81C7"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018B98A5"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E149B3" w14:paraId="06EC5B91" w14:textId="77777777">
        <w:tc>
          <w:tcPr>
            <w:tcW w:w="2340" w:type="dxa"/>
            <w:tcMar>
              <w:top w:w="100" w:type="dxa"/>
              <w:left w:w="100" w:type="dxa"/>
              <w:bottom w:w="100" w:type="dxa"/>
              <w:right w:w="100" w:type="dxa"/>
            </w:tcMar>
          </w:tcPr>
          <w:p w14:paraId="35EEF1F0"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MCD: NYSE</w:t>
            </w:r>
          </w:p>
        </w:tc>
        <w:tc>
          <w:tcPr>
            <w:tcW w:w="2340" w:type="dxa"/>
            <w:tcMar>
              <w:top w:w="100" w:type="dxa"/>
              <w:left w:w="100" w:type="dxa"/>
              <w:bottom w:w="100" w:type="dxa"/>
              <w:right w:w="100" w:type="dxa"/>
            </w:tcMar>
          </w:tcPr>
          <w:p w14:paraId="2AC45EB4"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McDonalds Corporation</w:t>
            </w:r>
          </w:p>
        </w:tc>
        <w:tc>
          <w:tcPr>
            <w:tcW w:w="2340" w:type="dxa"/>
            <w:tcMar>
              <w:top w:w="100" w:type="dxa"/>
              <w:left w:w="100" w:type="dxa"/>
              <w:bottom w:w="100" w:type="dxa"/>
              <w:right w:w="100" w:type="dxa"/>
            </w:tcMar>
          </w:tcPr>
          <w:p w14:paraId="4A71E30D"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0E204464"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E149B3" w14:paraId="6792E301" w14:textId="77777777">
        <w:tc>
          <w:tcPr>
            <w:tcW w:w="2340" w:type="dxa"/>
            <w:tcMar>
              <w:top w:w="100" w:type="dxa"/>
              <w:left w:w="100" w:type="dxa"/>
              <w:bottom w:w="100" w:type="dxa"/>
              <w:right w:w="100" w:type="dxa"/>
            </w:tcMar>
          </w:tcPr>
          <w:p w14:paraId="348175BC"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NBN: NASDAQ</w:t>
            </w:r>
          </w:p>
        </w:tc>
        <w:tc>
          <w:tcPr>
            <w:tcW w:w="2340" w:type="dxa"/>
            <w:tcMar>
              <w:top w:w="100" w:type="dxa"/>
              <w:left w:w="100" w:type="dxa"/>
              <w:bottom w:w="100" w:type="dxa"/>
              <w:right w:w="100" w:type="dxa"/>
            </w:tcMar>
          </w:tcPr>
          <w:p w14:paraId="658E7FA4"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Northeast Bank</w:t>
            </w:r>
          </w:p>
        </w:tc>
        <w:tc>
          <w:tcPr>
            <w:tcW w:w="2340" w:type="dxa"/>
            <w:tcMar>
              <w:top w:w="100" w:type="dxa"/>
              <w:left w:w="100" w:type="dxa"/>
              <w:bottom w:w="100" w:type="dxa"/>
              <w:right w:w="100" w:type="dxa"/>
            </w:tcMar>
          </w:tcPr>
          <w:p w14:paraId="26C3A852"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3B1D214A"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E149B3" w14:paraId="42949CA8" w14:textId="77777777">
        <w:tc>
          <w:tcPr>
            <w:tcW w:w="2340" w:type="dxa"/>
            <w:tcMar>
              <w:top w:w="100" w:type="dxa"/>
              <w:left w:w="100" w:type="dxa"/>
              <w:bottom w:w="100" w:type="dxa"/>
              <w:right w:w="100" w:type="dxa"/>
            </w:tcMar>
          </w:tcPr>
          <w:p w14:paraId="091B9660"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PENN: NASDAQ</w:t>
            </w:r>
          </w:p>
        </w:tc>
        <w:tc>
          <w:tcPr>
            <w:tcW w:w="2340" w:type="dxa"/>
            <w:tcMar>
              <w:top w:w="100" w:type="dxa"/>
              <w:left w:w="100" w:type="dxa"/>
              <w:bottom w:w="100" w:type="dxa"/>
              <w:right w:w="100" w:type="dxa"/>
            </w:tcMar>
          </w:tcPr>
          <w:p w14:paraId="0264A1C4"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Penn National Gaming, Inc.</w:t>
            </w:r>
          </w:p>
        </w:tc>
        <w:tc>
          <w:tcPr>
            <w:tcW w:w="2340" w:type="dxa"/>
            <w:tcMar>
              <w:top w:w="100" w:type="dxa"/>
              <w:left w:w="100" w:type="dxa"/>
              <w:bottom w:w="100" w:type="dxa"/>
              <w:right w:w="100" w:type="dxa"/>
            </w:tcMar>
          </w:tcPr>
          <w:p w14:paraId="699E9B37"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04B583F9"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E149B3" w14:paraId="215BCB10" w14:textId="77777777">
        <w:tc>
          <w:tcPr>
            <w:tcW w:w="2340" w:type="dxa"/>
            <w:tcMar>
              <w:top w:w="100" w:type="dxa"/>
              <w:left w:w="100" w:type="dxa"/>
              <w:bottom w:w="100" w:type="dxa"/>
              <w:right w:w="100" w:type="dxa"/>
            </w:tcMar>
          </w:tcPr>
          <w:p w14:paraId="5A4AB185"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RTX: NYSE</w:t>
            </w:r>
          </w:p>
        </w:tc>
        <w:tc>
          <w:tcPr>
            <w:tcW w:w="2340" w:type="dxa"/>
            <w:tcMar>
              <w:top w:w="100" w:type="dxa"/>
              <w:left w:w="100" w:type="dxa"/>
              <w:bottom w:w="100" w:type="dxa"/>
              <w:right w:w="100" w:type="dxa"/>
            </w:tcMar>
          </w:tcPr>
          <w:p w14:paraId="7E892902"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Raytheon Technologies Corporation</w:t>
            </w:r>
          </w:p>
        </w:tc>
        <w:tc>
          <w:tcPr>
            <w:tcW w:w="2340" w:type="dxa"/>
            <w:tcMar>
              <w:top w:w="100" w:type="dxa"/>
              <w:left w:w="100" w:type="dxa"/>
              <w:bottom w:w="100" w:type="dxa"/>
              <w:right w:w="100" w:type="dxa"/>
            </w:tcMar>
          </w:tcPr>
          <w:p w14:paraId="6EF72EEE"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1BD04E62"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Industrials</w:t>
            </w:r>
          </w:p>
        </w:tc>
      </w:tr>
      <w:tr w:rsidR="00E149B3" w14:paraId="5AA7B611" w14:textId="77777777">
        <w:tc>
          <w:tcPr>
            <w:tcW w:w="2340" w:type="dxa"/>
            <w:tcMar>
              <w:top w:w="100" w:type="dxa"/>
              <w:left w:w="100" w:type="dxa"/>
              <w:bottom w:w="100" w:type="dxa"/>
              <w:right w:w="100" w:type="dxa"/>
            </w:tcMar>
          </w:tcPr>
          <w:p w14:paraId="5989E6E6"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TD: NYSE</w:t>
            </w:r>
          </w:p>
        </w:tc>
        <w:tc>
          <w:tcPr>
            <w:tcW w:w="2340" w:type="dxa"/>
            <w:tcMar>
              <w:top w:w="100" w:type="dxa"/>
              <w:left w:w="100" w:type="dxa"/>
              <w:bottom w:w="100" w:type="dxa"/>
              <w:right w:w="100" w:type="dxa"/>
            </w:tcMar>
          </w:tcPr>
          <w:p w14:paraId="1A6BE757"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The Toronto-Dominion Bank</w:t>
            </w:r>
          </w:p>
        </w:tc>
        <w:tc>
          <w:tcPr>
            <w:tcW w:w="2340" w:type="dxa"/>
            <w:tcMar>
              <w:top w:w="100" w:type="dxa"/>
              <w:left w:w="100" w:type="dxa"/>
              <w:bottom w:w="100" w:type="dxa"/>
              <w:right w:w="100" w:type="dxa"/>
            </w:tcMar>
          </w:tcPr>
          <w:p w14:paraId="3896A9A8"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06F75C97"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E149B3" w14:paraId="0BF3ACFB" w14:textId="77777777">
        <w:tc>
          <w:tcPr>
            <w:tcW w:w="2340" w:type="dxa"/>
            <w:tcMar>
              <w:top w:w="100" w:type="dxa"/>
              <w:left w:w="100" w:type="dxa"/>
              <w:bottom w:w="100" w:type="dxa"/>
              <w:right w:w="100" w:type="dxa"/>
            </w:tcMar>
          </w:tcPr>
          <w:p w14:paraId="6F008044"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TMUS: NASDAQ</w:t>
            </w:r>
          </w:p>
        </w:tc>
        <w:tc>
          <w:tcPr>
            <w:tcW w:w="2340" w:type="dxa"/>
            <w:tcMar>
              <w:top w:w="100" w:type="dxa"/>
              <w:left w:w="100" w:type="dxa"/>
              <w:bottom w:w="100" w:type="dxa"/>
              <w:right w:w="100" w:type="dxa"/>
            </w:tcMar>
          </w:tcPr>
          <w:p w14:paraId="0145A598"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T-Mobile US, Inc.</w:t>
            </w:r>
          </w:p>
        </w:tc>
        <w:tc>
          <w:tcPr>
            <w:tcW w:w="2340" w:type="dxa"/>
            <w:tcMar>
              <w:top w:w="100" w:type="dxa"/>
              <w:left w:w="100" w:type="dxa"/>
              <w:bottom w:w="100" w:type="dxa"/>
              <w:right w:w="100" w:type="dxa"/>
            </w:tcMar>
          </w:tcPr>
          <w:p w14:paraId="67EE797B"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42B7458B"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Consumer Services</w:t>
            </w:r>
          </w:p>
        </w:tc>
      </w:tr>
      <w:tr w:rsidR="00E149B3" w14:paraId="071D378C" w14:textId="77777777">
        <w:tc>
          <w:tcPr>
            <w:tcW w:w="2340" w:type="dxa"/>
            <w:tcMar>
              <w:top w:w="100" w:type="dxa"/>
              <w:left w:w="100" w:type="dxa"/>
              <w:bottom w:w="100" w:type="dxa"/>
              <w:right w:w="100" w:type="dxa"/>
            </w:tcMar>
          </w:tcPr>
          <w:p w14:paraId="1E3FD79A"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UPS: NYSE</w:t>
            </w:r>
          </w:p>
        </w:tc>
        <w:tc>
          <w:tcPr>
            <w:tcW w:w="2340" w:type="dxa"/>
            <w:tcMar>
              <w:top w:w="100" w:type="dxa"/>
              <w:left w:w="100" w:type="dxa"/>
              <w:bottom w:w="100" w:type="dxa"/>
              <w:right w:w="100" w:type="dxa"/>
            </w:tcMar>
          </w:tcPr>
          <w:p w14:paraId="123EEE30"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United Parcel Service, Inc. </w:t>
            </w:r>
          </w:p>
        </w:tc>
        <w:tc>
          <w:tcPr>
            <w:tcW w:w="2340" w:type="dxa"/>
            <w:tcMar>
              <w:top w:w="100" w:type="dxa"/>
              <w:left w:w="100" w:type="dxa"/>
              <w:bottom w:w="100" w:type="dxa"/>
              <w:right w:w="100" w:type="dxa"/>
            </w:tcMar>
          </w:tcPr>
          <w:p w14:paraId="1344669B"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42210081"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Industrials</w:t>
            </w:r>
          </w:p>
        </w:tc>
      </w:tr>
      <w:tr w:rsidR="00E149B3" w14:paraId="3327389B" w14:textId="77777777">
        <w:tc>
          <w:tcPr>
            <w:tcW w:w="2340" w:type="dxa"/>
            <w:tcMar>
              <w:top w:w="100" w:type="dxa"/>
              <w:left w:w="100" w:type="dxa"/>
              <w:bottom w:w="100" w:type="dxa"/>
              <w:right w:w="100" w:type="dxa"/>
            </w:tcMar>
          </w:tcPr>
          <w:p w14:paraId="06E8B1CE"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UNM: NYSE</w:t>
            </w:r>
          </w:p>
        </w:tc>
        <w:tc>
          <w:tcPr>
            <w:tcW w:w="2340" w:type="dxa"/>
            <w:tcMar>
              <w:top w:w="100" w:type="dxa"/>
              <w:left w:w="100" w:type="dxa"/>
              <w:bottom w:w="100" w:type="dxa"/>
              <w:right w:w="100" w:type="dxa"/>
            </w:tcMar>
          </w:tcPr>
          <w:p w14:paraId="27F9EB4D"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UNUM Group</w:t>
            </w:r>
          </w:p>
        </w:tc>
        <w:tc>
          <w:tcPr>
            <w:tcW w:w="2340" w:type="dxa"/>
            <w:tcMar>
              <w:top w:w="100" w:type="dxa"/>
              <w:left w:w="100" w:type="dxa"/>
              <w:bottom w:w="100" w:type="dxa"/>
              <w:right w:w="100" w:type="dxa"/>
            </w:tcMar>
          </w:tcPr>
          <w:p w14:paraId="39C4BD0B"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4B952131"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E149B3" w14:paraId="76EDCDAF" w14:textId="77777777">
        <w:tc>
          <w:tcPr>
            <w:tcW w:w="2340" w:type="dxa"/>
            <w:tcMar>
              <w:top w:w="100" w:type="dxa"/>
              <w:left w:w="100" w:type="dxa"/>
              <w:bottom w:w="100" w:type="dxa"/>
              <w:right w:w="100" w:type="dxa"/>
            </w:tcMar>
          </w:tcPr>
          <w:p w14:paraId="02B36A0E"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VLO: NYSE</w:t>
            </w:r>
          </w:p>
        </w:tc>
        <w:tc>
          <w:tcPr>
            <w:tcW w:w="2340" w:type="dxa"/>
            <w:tcMar>
              <w:top w:w="100" w:type="dxa"/>
              <w:left w:w="100" w:type="dxa"/>
              <w:bottom w:w="100" w:type="dxa"/>
              <w:right w:w="100" w:type="dxa"/>
            </w:tcMar>
          </w:tcPr>
          <w:p w14:paraId="37F84319"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Valero Energy Corporation</w:t>
            </w:r>
          </w:p>
        </w:tc>
        <w:tc>
          <w:tcPr>
            <w:tcW w:w="2340" w:type="dxa"/>
            <w:tcMar>
              <w:top w:w="100" w:type="dxa"/>
              <w:left w:w="100" w:type="dxa"/>
              <w:bottom w:w="100" w:type="dxa"/>
              <w:right w:w="100" w:type="dxa"/>
            </w:tcMar>
          </w:tcPr>
          <w:p w14:paraId="4A32EFC6"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1F2559AC"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Energy</w:t>
            </w:r>
          </w:p>
        </w:tc>
      </w:tr>
      <w:tr w:rsidR="00E149B3" w14:paraId="7137158A" w14:textId="77777777">
        <w:tc>
          <w:tcPr>
            <w:tcW w:w="2340" w:type="dxa"/>
            <w:tcMar>
              <w:top w:w="100" w:type="dxa"/>
              <w:left w:w="100" w:type="dxa"/>
              <w:bottom w:w="100" w:type="dxa"/>
              <w:right w:w="100" w:type="dxa"/>
            </w:tcMar>
          </w:tcPr>
          <w:p w14:paraId="1BF8A73D"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WMT: NYSE</w:t>
            </w:r>
          </w:p>
        </w:tc>
        <w:tc>
          <w:tcPr>
            <w:tcW w:w="2340" w:type="dxa"/>
            <w:tcMar>
              <w:top w:w="100" w:type="dxa"/>
              <w:left w:w="100" w:type="dxa"/>
              <w:bottom w:w="100" w:type="dxa"/>
              <w:right w:w="100" w:type="dxa"/>
            </w:tcMar>
          </w:tcPr>
          <w:p w14:paraId="2D34A1F5"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Walmart, Inc.</w:t>
            </w:r>
          </w:p>
        </w:tc>
        <w:tc>
          <w:tcPr>
            <w:tcW w:w="2340" w:type="dxa"/>
            <w:tcMar>
              <w:top w:w="100" w:type="dxa"/>
              <w:left w:w="100" w:type="dxa"/>
              <w:bottom w:w="100" w:type="dxa"/>
              <w:right w:w="100" w:type="dxa"/>
            </w:tcMar>
          </w:tcPr>
          <w:p w14:paraId="573602D4"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4E175C27"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Consumer Services</w:t>
            </w:r>
          </w:p>
        </w:tc>
      </w:tr>
      <w:tr w:rsidR="00E149B3" w14:paraId="1CF0FCB5" w14:textId="77777777">
        <w:tc>
          <w:tcPr>
            <w:tcW w:w="2340" w:type="dxa"/>
            <w:tcMar>
              <w:top w:w="100" w:type="dxa"/>
              <w:left w:w="100" w:type="dxa"/>
              <w:bottom w:w="100" w:type="dxa"/>
              <w:right w:w="100" w:type="dxa"/>
            </w:tcMar>
          </w:tcPr>
          <w:p w14:paraId="69423303"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WEX: NYSE</w:t>
            </w:r>
          </w:p>
        </w:tc>
        <w:tc>
          <w:tcPr>
            <w:tcW w:w="2340" w:type="dxa"/>
            <w:tcMar>
              <w:top w:w="100" w:type="dxa"/>
              <w:left w:w="100" w:type="dxa"/>
              <w:bottom w:w="100" w:type="dxa"/>
              <w:right w:w="100" w:type="dxa"/>
            </w:tcMar>
          </w:tcPr>
          <w:p w14:paraId="2BABD8E0"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WEX, Inc. </w:t>
            </w:r>
          </w:p>
        </w:tc>
        <w:tc>
          <w:tcPr>
            <w:tcW w:w="2340" w:type="dxa"/>
            <w:tcMar>
              <w:top w:w="100" w:type="dxa"/>
              <w:left w:w="100" w:type="dxa"/>
              <w:bottom w:w="100" w:type="dxa"/>
              <w:right w:w="100" w:type="dxa"/>
            </w:tcMar>
          </w:tcPr>
          <w:p w14:paraId="7AABDA98"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2DEDF587" w14:textId="77777777" w:rsidR="00E149B3"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Information Technologies</w:t>
            </w:r>
          </w:p>
        </w:tc>
      </w:tr>
    </w:tbl>
    <w:p w14:paraId="641B7C3A" w14:textId="77777777" w:rsidR="00E149B3" w:rsidRDefault="00E149B3">
      <w:pPr>
        <w:rPr>
          <w:rFonts w:ascii="Times New Roman" w:eastAsia="Times New Roman" w:hAnsi="Times New Roman" w:cs="Times New Roman"/>
          <w:sz w:val="24"/>
          <w:szCs w:val="24"/>
        </w:rPr>
      </w:pPr>
    </w:p>
    <w:p w14:paraId="0D799A0F" w14:textId="77777777" w:rsidR="00E149B3" w:rsidRDefault="00E149B3">
      <w:pPr>
        <w:rPr>
          <w:rFonts w:ascii="Times New Roman" w:eastAsia="Times New Roman" w:hAnsi="Times New Roman" w:cs="Times New Roman"/>
          <w:sz w:val="24"/>
          <w:szCs w:val="24"/>
        </w:rPr>
      </w:pPr>
    </w:p>
    <w:sectPr w:rsidR="00E149B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37E2DCB-534B-5641-BD84-AEC0CC7A0C94}"/>
    <w:embedItalic r:id="rId2" w:fontKey="{CA6E2419-740E-6746-BFA4-7F9C994D6F56}"/>
  </w:font>
  <w:font w:name="Times New Roman">
    <w:panose1 w:val="02020603050405020304"/>
    <w:charset w:val="00"/>
    <w:family w:val="roman"/>
    <w:pitch w:val="variable"/>
    <w:sig w:usb0="E0002EFF" w:usb1="C000785B" w:usb2="00000009" w:usb3="00000000" w:csb0="000001FF" w:csb1="00000000"/>
    <w:embedRegular r:id="rId3" w:fontKey="{1582DA6D-B036-3847-BC32-8CD99E042153}"/>
    <w:embedBold r:id="rId4" w:fontKey="{406CFF1D-F0DA-6148-AF20-1770BD76B45B}"/>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5" w:fontKey="{A327DEAD-DD9E-4244-B2F2-BC1A96C69797}"/>
  </w:font>
  <w:font w:name="Cambria">
    <w:panose1 w:val="02040503050406030204"/>
    <w:charset w:val="00"/>
    <w:family w:val="roman"/>
    <w:pitch w:val="variable"/>
    <w:sig w:usb0="E00002FF" w:usb1="400004FF" w:usb2="00000000" w:usb3="00000000" w:csb0="0000019F" w:csb1="00000000"/>
    <w:embedRegular r:id="rId6" w:fontKey="{F039142B-3D99-E741-AC31-D08DC1C6879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9B3"/>
    <w:rsid w:val="00A35CE9"/>
    <w:rsid w:val="00C66F3E"/>
    <w:rsid w:val="00D31835"/>
    <w:rsid w:val="00E149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C53976B"/>
  <w15:docId w15:val="{987B1AD8-A01E-EF4E-B914-271EED0A1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CellMar>
        <w:left w:w="115" w:type="dxa"/>
        <w:right w:w="115" w:type="dxa"/>
      </w:tblCellMar>
    </w:tblPr>
  </w:style>
  <w:style w:type="paragraph" w:styleId="Revision">
    <w:name w:val="Revision"/>
    <w:hidden/>
    <w:uiPriority w:val="99"/>
    <w:semiHidden/>
    <w:rsid w:val="00C66F3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heglobeandmail.com/investing/markets/markets-news/Motley%20Fool/35834795/why-united-parcel-service-ups-stock-skyrocketed-this-week/" TargetMode="External"/><Relationship Id="rId3" Type="http://schemas.openxmlformats.org/officeDocument/2006/relationships/settings" Target="settings.xml"/><Relationship Id="rId7" Type="http://schemas.openxmlformats.org/officeDocument/2006/relationships/hyperlink" Target="https://finance.yahoo.com/news/immucell-corporations-nasdaq-iccc-recent-125720464.htm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finance.yahoo.com/news/northeast-bank-nbn-q1-2026-195619023.html" TargetMode="External"/><Relationship Id="rId5" Type="http://schemas.openxmlformats.org/officeDocument/2006/relationships/hyperlink" Target="https://finance.yahoo.com/news/why-wex-wex-stock-trading-192212240.html"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ugOUiiPzM8xkaRxPpnYRmfldpw==">CgMxLjA4AHIhMVdEUHlQWmZlZE5Ob2VUdzA2dnJMYUg2MjhyeFhlNmRK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1258</Words>
  <Characters>7172</Characters>
  <Application>Microsoft Office Word</Application>
  <DocSecurity>0</DocSecurity>
  <Lines>59</Lines>
  <Paragraphs>16</Paragraphs>
  <ScaleCrop>false</ScaleCrop>
  <Company/>
  <LinksUpToDate>false</LinksUpToDate>
  <CharactersWithSpaces>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 Liu</cp:lastModifiedBy>
  <cp:revision>3</cp:revision>
  <dcterms:created xsi:type="dcterms:W3CDTF">2025-10-11T23:17:00Z</dcterms:created>
  <dcterms:modified xsi:type="dcterms:W3CDTF">2025-11-02T22:49:00Z</dcterms:modified>
</cp:coreProperties>
</file>